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DFBFF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987198332" w:edGrp="everyone"/>
      <w:permEnd w:id="987198332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75B942D8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F46572C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288B12D2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A5DC1F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79E77CCB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40AB6405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0A28D96E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C29FA9F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51807F4D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45D0DACF" w14:textId="77777777" w:rsidR="00F251A4" w:rsidRPr="00E725FE" w:rsidRDefault="00F251A4" w:rsidP="00F251A4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7867166E" w14:textId="77777777" w:rsidR="00F251A4" w:rsidRPr="00E725FE" w:rsidRDefault="00F251A4" w:rsidP="00F251A4">
      <w:pPr>
        <w:ind w:left="720" w:hanging="720"/>
        <w:jc w:val="both"/>
        <w:rPr>
          <w:sz w:val="22"/>
          <w:szCs w:val="22"/>
        </w:rPr>
      </w:pPr>
    </w:p>
    <w:p w14:paraId="25D474FF" w14:textId="77777777" w:rsidR="00F251A4" w:rsidRDefault="00F251A4" w:rsidP="00F251A4">
      <w:pPr>
        <w:ind w:left="720"/>
        <w:jc w:val="both"/>
        <w:rPr>
          <w:sz w:val="22"/>
          <w:szCs w:val="22"/>
        </w:rPr>
      </w:pPr>
      <w:r w:rsidRPr="00F55EB3">
        <w:rPr>
          <w:sz w:val="22"/>
          <w:szCs w:val="22"/>
        </w:rPr>
        <w:t>The amounts due will be calculated by the tranches specified in article 49(1)(a) of the Special Conditions.</w:t>
      </w:r>
    </w:p>
    <w:p w14:paraId="62991800" w14:textId="77777777" w:rsidR="00F251A4" w:rsidRPr="00E725FE" w:rsidRDefault="00F251A4" w:rsidP="00F251A4">
      <w:pPr>
        <w:ind w:left="720" w:hanging="720"/>
        <w:jc w:val="both"/>
        <w:rPr>
          <w:sz w:val="22"/>
          <w:szCs w:val="22"/>
        </w:rPr>
      </w:pPr>
    </w:p>
    <w:p w14:paraId="263AAF23" w14:textId="77777777" w:rsidR="00F251A4" w:rsidRPr="00E725FE" w:rsidRDefault="00F251A4" w:rsidP="00F251A4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345DA436" w14:textId="77777777" w:rsidR="00F251A4" w:rsidRPr="00E725FE" w:rsidRDefault="00F251A4" w:rsidP="00F251A4">
      <w:pPr>
        <w:jc w:val="both"/>
        <w:rPr>
          <w:sz w:val="22"/>
          <w:szCs w:val="22"/>
        </w:rPr>
      </w:pPr>
    </w:p>
    <w:p w14:paraId="077184EF" w14:textId="77777777" w:rsidR="00F251A4" w:rsidRPr="00E725FE" w:rsidRDefault="00F251A4" w:rsidP="00F251A4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E725FE">
        <w:rPr>
          <w:sz w:val="22"/>
          <w:szCs w:val="22"/>
        </w:rPr>
        <w:tab/>
        <w:t xml:space="preserve">The prices of the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include all incidental and contingent expenses and </w:t>
      </w:r>
      <w:r>
        <w:rPr>
          <w:sz w:val="22"/>
          <w:szCs w:val="22"/>
        </w:rPr>
        <w:t xml:space="preserve">all </w:t>
      </w:r>
      <w:r w:rsidRPr="00E725FE">
        <w:rPr>
          <w:sz w:val="22"/>
          <w:szCs w:val="22"/>
        </w:rPr>
        <w:t xml:space="preserve">risks necessary to construct, complete and maintain </w:t>
      </w:r>
      <w:r>
        <w:rPr>
          <w:sz w:val="22"/>
          <w:szCs w:val="22"/>
        </w:rPr>
        <w:t>all</w:t>
      </w:r>
      <w:r w:rsidRPr="00E725FE">
        <w:rPr>
          <w:sz w:val="22"/>
          <w:szCs w:val="22"/>
        </w:rPr>
        <w:t xml:space="preserve"> works in accordance with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Unless separate items are provided in the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rice, prices include all costs involved in the various items of the </w:t>
      </w:r>
      <w:r>
        <w:rPr>
          <w:sz w:val="22"/>
          <w:szCs w:val="22"/>
        </w:rPr>
        <w:t>b</w:t>
      </w:r>
      <w:r w:rsidRPr="00E725FE">
        <w:rPr>
          <w:sz w:val="22"/>
          <w:szCs w:val="22"/>
        </w:rPr>
        <w:t>reakdown.</w:t>
      </w:r>
    </w:p>
    <w:p w14:paraId="29058C15" w14:textId="77777777" w:rsidR="00F251A4" w:rsidRPr="00E725FE" w:rsidRDefault="00F251A4" w:rsidP="00F251A4">
      <w:pPr>
        <w:jc w:val="both"/>
        <w:rPr>
          <w:sz w:val="22"/>
          <w:szCs w:val="22"/>
        </w:rPr>
      </w:pPr>
    </w:p>
    <w:p w14:paraId="54DBD180" w14:textId="77777777" w:rsidR="00F251A4" w:rsidRDefault="00F251A4" w:rsidP="00F251A4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ump–sum </w:t>
      </w:r>
      <w:r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</w:t>
      </w:r>
      <w:r>
        <w:rPr>
          <w:sz w:val="22"/>
          <w:szCs w:val="22"/>
        </w:rPr>
        <w:t xml:space="preserve">and the </w:t>
      </w:r>
      <w:r w:rsidRPr="00ED447C">
        <w:rPr>
          <w:sz w:val="22"/>
          <w:szCs w:val="22"/>
        </w:rPr>
        <w:t xml:space="preserve">prices of the </w:t>
      </w:r>
      <w:r>
        <w:rPr>
          <w:sz w:val="22"/>
          <w:szCs w:val="22"/>
        </w:rPr>
        <w:t>b</w:t>
      </w:r>
      <w:r w:rsidRPr="00ED447C">
        <w:rPr>
          <w:sz w:val="22"/>
          <w:szCs w:val="22"/>
        </w:rPr>
        <w:t xml:space="preserve">reakdown of the </w:t>
      </w:r>
      <w:r>
        <w:rPr>
          <w:sz w:val="22"/>
          <w:szCs w:val="22"/>
        </w:rPr>
        <w:t>l</w:t>
      </w:r>
      <w:r w:rsidRPr="00ED447C">
        <w:rPr>
          <w:sz w:val="22"/>
          <w:szCs w:val="22"/>
        </w:rPr>
        <w:t xml:space="preserve">ump-sum </w:t>
      </w:r>
      <w:r>
        <w:rPr>
          <w:sz w:val="22"/>
          <w:szCs w:val="22"/>
        </w:rPr>
        <w:t>p</w:t>
      </w:r>
      <w:r w:rsidRPr="00ED447C">
        <w:rPr>
          <w:sz w:val="22"/>
          <w:szCs w:val="22"/>
        </w:rPr>
        <w:t xml:space="preserve">rice </w:t>
      </w:r>
      <w:r>
        <w:rPr>
          <w:sz w:val="22"/>
          <w:szCs w:val="22"/>
        </w:rPr>
        <w:t xml:space="preserve">are </w:t>
      </w:r>
      <w:r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50F99DF7" w14:textId="77777777" w:rsidR="00F251A4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</w:p>
    <w:p w14:paraId="693CBD0A" w14:textId="5FDA3394"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14:paraId="5A2D28C2" w14:textId="77777777" w:rsidR="00F9163A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tbl>
      <w:tblPr>
        <w:tblW w:w="10225" w:type="dxa"/>
        <w:tblInd w:w="-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709"/>
        <w:gridCol w:w="4679"/>
        <w:gridCol w:w="851"/>
        <w:gridCol w:w="1559"/>
        <w:gridCol w:w="1134"/>
        <w:gridCol w:w="1276"/>
        <w:gridCol w:w="7"/>
      </w:tblGrid>
      <w:tr w:rsidR="00F251A4" w:rsidRPr="00B96984" w14:paraId="1531C3E9" w14:textId="77777777" w:rsidTr="00F251A4">
        <w:trPr>
          <w:gridBefore w:val="1"/>
          <w:wBefore w:w="10" w:type="dxa"/>
          <w:trHeight w:val="165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04B5" w14:textId="77777777" w:rsidR="00F251A4" w:rsidRPr="00F21100" w:rsidRDefault="00F251A4" w:rsidP="00F251A4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Item</w:t>
            </w:r>
          </w:p>
          <w:p w14:paraId="11818B8C" w14:textId="163A069A" w:rsidR="00F251A4" w:rsidRPr="00B96984" w:rsidRDefault="00F251A4" w:rsidP="00F251A4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5C5F" w14:textId="77777777" w:rsidR="00F251A4" w:rsidRPr="00F21100" w:rsidRDefault="00F251A4" w:rsidP="00F251A4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Description</w:t>
            </w:r>
          </w:p>
          <w:p w14:paraId="31D33102" w14:textId="0CED6787" w:rsidR="00F251A4" w:rsidRPr="00F251A4" w:rsidRDefault="00F251A4" w:rsidP="00F251A4">
            <w:pPr>
              <w:jc w:val="center"/>
              <w:rPr>
                <w:b/>
                <w:bCs/>
                <w:snapToGrid/>
                <w:sz w:val="20"/>
                <w:lang w:val="en-US" w:eastAsia="bg-BG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BF24" w14:textId="77777777" w:rsidR="00F251A4" w:rsidRPr="00F21100" w:rsidRDefault="00F251A4" w:rsidP="00F251A4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Unit</w:t>
            </w:r>
          </w:p>
          <w:p w14:paraId="0E0BE795" w14:textId="1E495014" w:rsidR="00F251A4" w:rsidRPr="00B96984" w:rsidRDefault="00F251A4" w:rsidP="00F251A4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DF73" w14:textId="77777777" w:rsidR="00F251A4" w:rsidRPr="00F21100" w:rsidRDefault="00F251A4" w:rsidP="00F251A4">
            <w:pPr>
              <w:spacing w:before="120" w:after="120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14:paraId="79BFE809" w14:textId="5B5ECAE7" w:rsidR="00F251A4" w:rsidRPr="00B96984" w:rsidRDefault="00F251A4" w:rsidP="00F251A4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2FE2" w14:textId="77777777" w:rsidR="00F251A4" w:rsidRPr="00F21100" w:rsidRDefault="00F251A4" w:rsidP="00F251A4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Firm quantities</w:t>
            </w:r>
          </w:p>
          <w:p w14:paraId="5235A837" w14:textId="767B2F51" w:rsidR="00F251A4" w:rsidRPr="00B96984" w:rsidRDefault="00F251A4" w:rsidP="00F251A4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FF411" w14:textId="77777777" w:rsidR="00F251A4" w:rsidRPr="00F21100" w:rsidRDefault="00F251A4" w:rsidP="00F251A4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B232C41" w14:textId="77777777" w:rsidR="00F251A4" w:rsidRPr="00F21100" w:rsidRDefault="00F251A4" w:rsidP="00F251A4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Lump-sum price</w:t>
            </w:r>
          </w:p>
          <w:p w14:paraId="6F65B205" w14:textId="77777777" w:rsidR="00F251A4" w:rsidRPr="00F21100" w:rsidRDefault="00F251A4" w:rsidP="00F251A4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BGN</w:t>
            </w:r>
            <w:r>
              <w:rPr>
                <w:b/>
                <w:color w:val="000000"/>
                <w:sz w:val="22"/>
                <w:szCs w:val="22"/>
              </w:rPr>
              <w:t xml:space="preserve"> VAT excl.</w:t>
            </w:r>
          </w:p>
          <w:p w14:paraId="6F832510" w14:textId="36E0DBE0" w:rsidR="00F251A4" w:rsidRPr="00B96984" w:rsidRDefault="00F251A4" w:rsidP="00F251A4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</w:tr>
      <w:tr w:rsidR="00F251A4" w:rsidRPr="00B96984" w14:paraId="59B3FB15" w14:textId="77777777" w:rsidTr="00F251A4">
        <w:trPr>
          <w:gridBefore w:val="1"/>
          <w:wBefore w:w="10" w:type="dxa"/>
          <w:trHeight w:val="600"/>
        </w:trPr>
        <w:tc>
          <w:tcPr>
            <w:tcW w:w="10215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9CD72A4" w14:textId="77777777" w:rsidR="00F251A4" w:rsidRPr="00B96984" w:rsidRDefault="00F251A4" w:rsidP="00D6715F">
            <w:pPr>
              <w:jc w:val="center"/>
              <w:rPr>
                <w:b/>
                <w:bCs/>
                <w:snapToGrid/>
                <w:sz w:val="20"/>
                <w:lang w:val="bg-BG" w:eastAsia="bg-BG"/>
              </w:rPr>
            </w:pPr>
          </w:p>
        </w:tc>
      </w:tr>
      <w:tr w:rsidR="00F251A4" w:rsidRPr="00B96984" w14:paraId="5D101D8B" w14:textId="77777777" w:rsidTr="00F251A4">
        <w:trPr>
          <w:gridBefore w:val="1"/>
          <w:wBefore w:w="10" w:type="dxa"/>
          <w:trHeight w:val="6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871B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CD8E5" w14:textId="3BC7D3F1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Rectangular gabions of galvanized mesh with dimensions 2.00/1.00/1.00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9AAF9" w14:textId="63866606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0EDF2" w14:textId="4DCFB4AB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52E70" w14:textId="300D9234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62.00</w:t>
            </w:r>
          </w:p>
        </w:tc>
        <w:tc>
          <w:tcPr>
            <w:tcW w:w="12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34A23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53538074" w14:textId="77777777" w:rsidTr="00F251A4">
        <w:trPr>
          <w:gridBefore w:val="1"/>
          <w:wBefore w:w="10" w:type="dxa"/>
          <w:trHeight w:val="60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4F03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070D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Cutting off single trees manually up to 100 cm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932D9" w14:textId="6ED103A9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0805B" w14:textId="3452E288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8EE83" w14:textId="2C2D933E" w:rsidR="00F251A4" w:rsidRPr="00646041" w:rsidRDefault="00F251A4" w:rsidP="00F251A4">
            <w:pPr>
              <w:rPr>
                <w:b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20.00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2EE0F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28540223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B529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C9A1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Cutting off single </w:t>
            </w:r>
            <w:proofErr w:type="gram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trees  Ф</w:t>
            </w:r>
            <w:proofErr w:type="gramEnd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 up to 50 </w:t>
            </w: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сm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8CFE6" w14:textId="46275ABE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C7D0E" w14:textId="6AC95026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64C0B" w14:textId="397A9240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32.00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002F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506F3AA3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C451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23BD4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Uprooting of stumps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E1D24" w14:textId="17E84EE5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en-US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</w:t>
            </w:r>
            <w:proofErr w:type="spellEnd"/>
            <w:r>
              <w:rPr>
                <w:rFonts w:eastAsia="Arial Unicode MS"/>
                <w:bCs/>
                <w:snapToGrid/>
                <w:color w:val="000000"/>
                <w:szCs w:val="24"/>
                <w:lang w:val="en-US" w:eastAsia="bg-BG"/>
              </w:rPr>
              <w:t>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0C1D8" w14:textId="4814AC5A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7E85" w14:textId="5043DE39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32.00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78250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7CDF1785" w14:textId="77777777" w:rsidTr="00F251A4">
        <w:trPr>
          <w:gridBefore w:val="1"/>
          <w:wBefore w:w="10" w:type="dxa"/>
          <w:trHeight w:val="6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578E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0C259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Performance of </w:t>
            </w: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embankmentys</w:t>
            </w:r>
            <w:proofErr w:type="spellEnd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 by bulldozer with soil taken from one side Hy 1.5 m at heavy conditions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890E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2A4D2" w14:textId="5C24DDEC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9D1C0" w14:textId="602AF753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165.00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74D6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6D840C89" w14:textId="77777777" w:rsidTr="00F251A4">
        <w:trPr>
          <w:gridBefore w:val="1"/>
          <w:wBefore w:w="10" w:type="dxa"/>
          <w:trHeight w:val="6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4B2C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E8238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Excavation and moving of earth soils at 40 m by bulldozer at heavy conditions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670C4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0E18D" w14:textId="0D628FCA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A99A" w14:textId="38FE828C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461.00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C4872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03B8A703" w14:textId="77777777" w:rsidTr="00F251A4">
        <w:trPr>
          <w:gridBefore w:val="1"/>
          <w:wBefore w:w="10" w:type="dxa"/>
          <w:trHeight w:val="6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DCC6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A59E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Shoveling</w:t>
            </w:r>
            <w:proofErr w:type="spellEnd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 off earth by bulldozer or backfill of excavations up to 40 m at heavy conditions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8AD3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76DC3" w14:textId="1932DED3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A92A8" w14:textId="1EFFC2FA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287.00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8EF14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03CF1BBF" w14:textId="77777777" w:rsidTr="00F251A4">
        <w:trPr>
          <w:gridBefore w:val="1"/>
          <w:wBefore w:w="10" w:type="dxa"/>
          <w:trHeight w:val="69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E246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47C82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Excavation of earth soils by excavator with slope for cleaning the riverbed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6256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E78A6" w14:textId="4F9AFF19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75871" w14:textId="5A8D501E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6 367.00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89C40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074D80AF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0F5B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9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1ECE7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Loading stumps and bushes on transport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A2167" w14:textId="668D9000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02AD5" w14:textId="08392FA3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812FC" w14:textId="23754AB6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D0CB7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26C9F114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6688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48A6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Carriage of stumps and bushes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FC898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F4337" w14:textId="14E5339E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26035" w14:textId="0CB423C1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1B92F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09246083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5E2A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33931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Manufacture and assembly of reinforcement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CEAA" w14:textId="77777777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kg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61CA3" w14:textId="37F9FF1A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5AA1" w14:textId="3E4D4C0F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2 227.00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29BEC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40DB6F87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48C5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F9CD5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Shuttering for straight walls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8D77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FF243" w14:textId="0CBC65F6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DBA9F" w14:textId="5B563DBA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888.00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4E24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37D9D935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6D94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290F2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Casting concrete B20 in walls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F6702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FA26D" w14:textId="32A035DB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6FC3F" w14:textId="6D66B669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384.66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7F61F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1021A06E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86D8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7D5FA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Carriage of concrete at 10 km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9290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87BD" w14:textId="473EE1D5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32704" w14:textId="3C305D2F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384.66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97A0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40F18CF4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647D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00905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Water pumping out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D72A" w14:textId="77777777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shift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31A2" w14:textId="526A88F6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209B7" w14:textId="3D70EC5D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14.00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B809C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2BDE9FCC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53E5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43735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Planting of trees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6BCE0" w14:textId="7576B869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8C84D" w14:textId="5C152460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8ED3E" w14:textId="1CB80704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120.00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230FF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736EB745" w14:textId="77777777" w:rsidTr="00F251A4">
        <w:trPr>
          <w:gridBefore w:val="1"/>
          <w:wBefore w:w="10" w:type="dxa"/>
          <w:trHeight w:val="48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23F0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64F5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Reinforcement of bridge </w:t>
            </w: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pilars</w:t>
            </w:r>
            <w:proofErr w:type="spellEnd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 and foundation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E02BE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BF08B" w14:textId="32215D01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BCD7" w14:textId="0DB017B6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50.00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74B9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1EBAE64F" w14:textId="77777777" w:rsidTr="00F251A4">
        <w:trPr>
          <w:gridBefore w:val="1"/>
          <w:wBefore w:w="10" w:type="dxa"/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B8A4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lastRenderedPageBreak/>
              <w:t>18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D5F0B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Manufacture of bottom threshold of bridge 10 m long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FF64" w14:textId="3604E94B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proofErr w:type="spellStart"/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pcs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635C" w14:textId="44F9B8F1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5BDED" w14:textId="50328485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1.00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1088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23DB1FA0" w14:textId="77777777" w:rsidTr="00F251A4">
        <w:trPr>
          <w:gridBefore w:val="1"/>
          <w:wBefore w:w="10" w:type="dxa"/>
          <w:trHeight w:val="33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2152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19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F83E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Placing rocks around bottom threshold of bridge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437DE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02C39" w14:textId="3B38DDA0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D41D3" w14:textId="14A9269C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218D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45C81E1E" w14:textId="77777777" w:rsidTr="00F251A4">
        <w:trPr>
          <w:gridBefore w:val="1"/>
          <w:wBefore w:w="10" w:type="dxa"/>
          <w:trHeight w:val="33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0B34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20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87B4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 xml:space="preserve">Carriage of rocks for the bottom threshold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5FEFA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37697" w14:textId="0F9B286E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5A6B" w14:textId="464A7A3E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52.00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E935D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4FD06C9E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3BBE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21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AF81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Repair of bridge's upper structure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1CCA3" w14:textId="77777777" w:rsidR="00F251A4" w:rsidRPr="00F251A4" w:rsidRDefault="00F251A4" w:rsidP="00F251A4">
            <w:pPr>
              <w:jc w:val="center"/>
              <w:rPr>
                <w:bCs/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m</w:t>
            </w:r>
            <w:r w:rsidRPr="00F251A4">
              <w:rPr>
                <w:bCs/>
                <w:snapToGrid/>
                <w:sz w:val="22"/>
                <w:szCs w:val="22"/>
                <w:vertAlign w:val="superscript"/>
                <w:lang w:val="bg-BG" w:eastAsia="bg-BG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9542" w14:textId="4E6ACD9D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CB2F" w14:textId="6FC72B69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50.00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5AB7C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B96984" w14:paraId="1D95F09B" w14:textId="77777777" w:rsidTr="00F251A4">
        <w:trPr>
          <w:gridBefore w:val="1"/>
          <w:wBefore w:w="10" w:type="dxa"/>
          <w:trHeight w:val="36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C890" w14:textId="77777777" w:rsidR="00F251A4" w:rsidRPr="00B96984" w:rsidRDefault="00F251A4" w:rsidP="00F251A4">
            <w:pPr>
              <w:jc w:val="center"/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22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1E3A7" w14:textId="77777777" w:rsidR="00F251A4" w:rsidRPr="00F251A4" w:rsidRDefault="00F251A4" w:rsidP="00F251A4">
            <w:pPr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eastAsia="bg-BG"/>
              </w:rPr>
              <w:t>Manufacture of bridge railing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73F02" w14:textId="77777777" w:rsidR="00F251A4" w:rsidRPr="00F251A4" w:rsidRDefault="00F251A4" w:rsidP="00F251A4">
            <w:pPr>
              <w:jc w:val="center"/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</w:pPr>
            <w:r w:rsidRPr="00F251A4">
              <w:rPr>
                <w:rFonts w:eastAsia="Arial Unicode MS"/>
                <w:bCs/>
                <w:snapToGrid/>
                <w:color w:val="000000"/>
                <w:szCs w:val="24"/>
                <w:lang w:val="bg-BG" w:eastAsia="bg-BG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8F231" w14:textId="725EEF13" w:rsidR="00F251A4" w:rsidRPr="00F251A4" w:rsidRDefault="00F251A4" w:rsidP="00F251A4">
            <w:pPr>
              <w:jc w:val="right"/>
              <w:rPr>
                <w:bCs/>
                <w:snapToGrid/>
                <w:sz w:val="22"/>
                <w:szCs w:val="22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010B3" w14:textId="17C3C2D9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F251A4">
              <w:rPr>
                <w:bCs/>
                <w:snapToGrid/>
                <w:sz w:val="22"/>
                <w:szCs w:val="22"/>
                <w:lang w:val="bg-BG" w:eastAsia="bg-BG"/>
              </w:rPr>
              <w:t>30.00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D8722" w14:textId="77777777" w:rsidR="00F251A4" w:rsidRPr="00B96984" w:rsidRDefault="00F251A4" w:rsidP="00F251A4">
            <w:pPr>
              <w:rPr>
                <w:snapToGrid/>
                <w:sz w:val="22"/>
                <w:szCs w:val="22"/>
                <w:lang w:val="bg-BG" w:eastAsia="bg-BG"/>
              </w:rPr>
            </w:pPr>
            <w:r w:rsidRPr="00B96984">
              <w:rPr>
                <w:snapToGrid/>
                <w:sz w:val="22"/>
                <w:szCs w:val="22"/>
                <w:lang w:val="bg-BG" w:eastAsia="bg-BG"/>
              </w:rPr>
              <w:t> </w:t>
            </w:r>
          </w:p>
        </w:tc>
      </w:tr>
      <w:tr w:rsidR="00F251A4" w:rsidRPr="00F21100" w14:paraId="582F55F3" w14:textId="77777777" w:rsidTr="00F2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19" w:type="dxa"/>
            <w:gridSpan w:val="2"/>
            <w:shd w:val="clear" w:color="auto" w:fill="auto"/>
            <w:vAlign w:val="center"/>
          </w:tcPr>
          <w:p w14:paraId="0DF353B0" w14:textId="77777777" w:rsidR="00F251A4" w:rsidRPr="00F21100" w:rsidRDefault="00F251A4" w:rsidP="000132B1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14:paraId="4ADE46DA" w14:textId="77777777" w:rsidR="00F251A4" w:rsidRPr="00F21100" w:rsidRDefault="00F251A4" w:rsidP="000132B1">
            <w:pPr>
              <w:spacing w:before="120"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0F0B6" w14:textId="77777777" w:rsidR="00F251A4" w:rsidRPr="00F21100" w:rsidRDefault="00F251A4" w:rsidP="000132B1">
            <w:pPr>
              <w:spacing w:before="120" w:after="12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51A4" w:rsidRPr="00F21100" w14:paraId="2B83763D" w14:textId="77777777" w:rsidTr="00F2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19" w:type="dxa"/>
            <w:gridSpan w:val="2"/>
            <w:shd w:val="clear" w:color="auto" w:fill="auto"/>
            <w:vAlign w:val="center"/>
          </w:tcPr>
          <w:p w14:paraId="2B013155" w14:textId="77777777" w:rsidR="00F251A4" w:rsidRPr="00F21100" w:rsidRDefault="00F251A4" w:rsidP="000132B1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14:paraId="67CE4C7D" w14:textId="77777777" w:rsidR="00F251A4" w:rsidRPr="00F21100" w:rsidRDefault="00F251A4" w:rsidP="000132B1">
            <w:pPr>
              <w:spacing w:before="120"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59439B" w14:textId="77777777" w:rsidR="00F251A4" w:rsidRPr="00F21100" w:rsidRDefault="00F251A4" w:rsidP="000132B1">
            <w:pPr>
              <w:spacing w:before="120" w:after="12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251A4" w:rsidRPr="00F21100" w14:paraId="66C9A55A" w14:textId="77777777" w:rsidTr="00F25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" w:type="dxa"/>
        </w:trPr>
        <w:tc>
          <w:tcPr>
            <w:tcW w:w="719" w:type="dxa"/>
            <w:gridSpan w:val="2"/>
            <w:shd w:val="clear" w:color="auto" w:fill="auto"/>
            <w:vAlign w:val="center"/>
          </w:tcPr>
          <w:p w14:paraId="6D5BCF69" w14:textId="77777777" w:rsidR="00F251A4" w:rsidRPr="00F21100" w:rsidRDefault="00F251A4" w:rsidP="000132B1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14:paraId="7630D365" w14:textId="77777777" w:rsidR="00F251A4" w:rsidRPr="00F21100" w:rsidRDefault="00F251A4" w:rsidP="000132B1">
            <w:pPr>
              <w:spacing w:before="120" w:after="120"/>
              <w:jc w:val="right"/>
              <w:rPr>
                <w:b/>
                <w:color w:val="000000"/>
                <w:sz w:val="22"/>
                <w:szCs w:val="22"/>
              </w:rPr>
            </w:pPr>
            <w:r w:rsidRPr="00F21100">
              <w:rPr>
                <w:b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2ACB64" w14:textId="77777777" w:rsidR="00F251A4" w:rsidRPr="00F21100" w:rsidRDefault="00F251A4" w:rsidP="000132B1">
            <w:pPr>
              <w:spacing w:before="120" w:after="120"/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1CEB0B6E" w14:textId="5F0E2265" w:rsidR="00F9163A" w:rsidRDefault="00F9163A" w:rsidP="00F251A4">
      <w:pPr>
        <w:tabs>
          <w:tab w:val="left" w:pos="3969"/>
        </w:tabs>
        <w:rPr>
          <w:b/>
          <w:sz w:val="22"/>
          <w:szCs w:val="22"/>
        </w:rPr>
      </w:pPr>
    </w:p>
    <w:p w14:paraId="3C4A6BBC" w14:textId="0E13EC7B" w:rsidR="00F251A4" w:rsidRDefault="00F251A4" w:rsidP="00F251A4">
      <w:pPr>
        <w:tabs>
          <w:tab w:val="left" w:pos="3969"/>
        </w:tabs>
        <w:rPr>
          <w:b/>
          <w:sz w:val="22"/>
          <w:szCs w:val="22"/>
        </w:rPr>
      </w:pPr>
    </w:p>
    <w:p w14:paraId="6EAFD5A3" w14:textId="77777777" w:rsidR="00F251A4" w:rsidRPr="00C86255" w:rsidRDefault="00F251A4" w:rsidP="00F251A4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AA3C127" w14:textId="77777777" w:rsidR="00F251A4" w:rsidRPr="00C86255" w:rsidRDefault="00F251A4" w:rsidP="00F251A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2735E796" w14:textId="77777777" w:rsidR="00F251A4" w:rsidRPr="00C86255" w:rsidRDefault="00F251A4" w:rsidP="00F251A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A0226FA" w14:textId="77777777" w:rsidR="00F251A4" w:rsidRPr="0034255D" w:rsidRDefault="00F251A4" w:rsidP="00F251A4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>
        <w:rPr>
          <w:rFonts w:ascii="Times New Roman" w:hAnsi="Times New Roman"/>
          <w:sz w:val="22"/>
          <w:szCs w:val="22"/>
          <w:lang w:val="en-GB"/>
        </w:rPr>
        <w:t>:</w:t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2D63F4B7" w14:textId="77777777" w:rsidR="00F251A4" w:rsidRPr="00E725FE" w:rsidRDefault="00F251A4" w:rsidP="00F251A4">
      <w:pPr>
        <w:tabs>
          <w:tab w:val="left" w:pos="3969"/>
        </w:tabs>
        <w:rPr>
          <w:b/>
          <w:sz w:val="22"/>
          <w:szCs w:val="22"/>
        </w:rPr>
      </w:pPr>
    </w:p>
    <w:sectPr w:rsidR="00F251A4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9990B" w14:textId="77777777" w:rsidR="002D02F4" w:rsidRPr="00E725FE" w:rsidRDefault="002D02F4">
      <w:r w:rsidRPr="00E725FE">
        <w:separator/>
      </w:r>
    </w:p>
  </w:endnote>
  <w:endnote w:type="continuationSeparator" w:id="0">
    <w:p w14:paraId="0AA9CF4E" w14:textId="77777777" w:rsidR="002D02F4" w:rsidRPr="00E725FE" w:rsidRDefault="002D02F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908C7A" w14:textId="77777777" w:rsidR="00DC7084" w:rsidRDefault="00D53C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70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708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6A16A8" w14:textId="77777777"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F6220" w14:textId="77777777"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D53C39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D53C39" w:rsidRPr="00063B37">
      <w:rPr>
        <w:rStyle w:val="PageNumber"/>
        <w:sz w:val="18"/>
        <w:szCs w:val="18"/>
      </w:rPr>
      <w:fldChar w:fldCharType="separate"/>
    </w:r>
    <w:r w:rsidR="00646041">
      <w:rPr>
        <w:rStyle w:val="PageNumber"/>
        <w:noProof/>
        <w:sz w:val="18"/>
        <w:szCs w:val="18"/>
      </w:rPr>
      <w:t>2</w:t>
    </w:r>
    <w:r w:rsidR="00D53C39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D53C39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D53C39" w:rsidRPr="00063B37">
      <w:rPr>
        <w:rStyle w:val="PageNumber"/>
        <w:sz w:val="18"/>
        <w:szCs w:val="18"/>
      </w:rPr>
      <w:fldChar w:fldCharType="separate"/>
    </w:r>
    <w:r w:rsidR="00646041">
      <w:rPr>
        <w:rStyle w:val="PageNumber"/>
        <w:noProof/>
        <w:sz w:val="18"/>
        <w:szCs w:val="18"/>
      </w:rPr>
      <w:t>3</w:t>
    </w:r>
    <w:r w:rsidR="00D53C39" w:rsidRPr="00063B37">
      <w:rPr>
        <w:rStyle w:val="PageNumber"/>
        <w:sz w:val="18"/>
        <w:szCs w:val="18"/>
      </w:rPr>
      <w:fldChar w:fldCharType="end"/>
    </w:r>
  </w:p>
  <w:p w14:paraId="60A4605B" w14:textId="77777777" w:rsidR="004C505D" w:rsidRPr="00E725FE" w:rsidRDefault="00D53C39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4C505D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4C505D"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EF33E" w14:textId="77777777"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53C39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53C39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53C39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53C39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53C39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53C39" w:rsidRPr="00E725FE">
      <w:rPr>
        <w:rStyle w:val="PageNumber"/>
        <w:sz w:val="18"/>
        <w:szCs w:val="18"/>
      </w:rPr>
      <w:fldChar w:fldCharType="end"/>
    </w:r>
  </w:p>
  <w:p w14:paraId="028684D8" w14:textId="77777777" w:rsidR="00DC7084" w:rsidRPr="00D50985" w:rsidRDefault="00D53C39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="00DC7084"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C7D87" w14:textId="77777777" w:rsidR="002D02F4" w:rsidRPr="00E725FE" w:rsidRDefault="002D02F4">
      <w:r w:rsidRPr="00E725FE">
        <w:separator/>
      </w:r>
    </w:p>
  </w:footnote>
  <w:footnote w:type="continuationSeparator" w:id="0">
    <w:p w14:paraId="07948F03" w14:textId="77777777" w:rsidR="002D02F4" w:rsidRPr="00E725FE" w:rsidRDefault="002D02F4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C6943" w14:textId="77777777" w:rsidR="00F251A4" w:rsidRDefault="00F251A4" w:rsidP="00F251A4">
    <w:pPr>
      <w:pStyle w:val="Header"/>
    </w:pPr>
    <w:bookmarkStart w:id="0" w:name="_Hlk55507702"/>
    <w:bookmarkStart w:id="1" w:name="_Hlk55507703"/>
    <w:bookmarkStart w:id="2" w:name="_Hlk55507844"/>
    <w:bookmarkStart w:id="3" w:name="_Hlk55507845"/>
    <w:bookmarkStart w:id="4" w:name="_Hlk55508007"/>
    <w:bookmarkStart w:id="5" w:name="_Hlk55508008"/>
    <w:bookmarkStart w:id="6" w:name="_Hlk55508016"/>
    <w:bookmarkStart w:id="7" w:name="_Hlk55508017"/>
    <w:bookmarkStart w:id="8" w:name="_Hlk55508019"/>
    <w:bookmarkStart w:id="9" w:name="_Hlk55508020"/>
    <w:bookmarkStart w:id="10" w:name="_Hlk55508022"/>
    <w:bookmarkStart w:id="11" w:name="_Hlk55508023"/>
    <w:bookmarkStart w:id="12" w:name="_Hlk55516442"/>
    <w:bookmarkStart w:id="13" w:name="_Hlk55516443"/>
    <w:bookmarkStart w:id="14" w:name="_Hlk55546200"/>
    <w:bookmarkStart w:id="15" w:name="_Hlk55546201"/>
    <w:bookmarkStart w:id="16" w:name="_Hlk55546554"/>
    <w:bookmarkStart w:id="17" w:name="_Hlk55546555"/>
    <w:bookmarkStart w:id="18" w:name="_Hlk55546572"/>
    <w:bookmarkStart w:id="19" w:name="_Hlk55546573"/>
    <w:bookmarkStart w:id="20" w:name="_Hlk55546591"/>
    <w:bookmarkStart w:id="21" w:name="_Hlk55546592"/>
    <w:bookmarkStart w:id="22" w:name="_Hlk55547239"/>
    <w:bookmarkStart w:id="23" w:name="_Hlk55547240"/>
    <w:bookmarkStart w:id="24" w:name="_Hlk55548246"/>
    <w:bookmarkStart w:id="25" w:name="_Hlk55548247"/>
    <w:bookmarkStart w:id="26" w:name="_Hlk55550740"/>
    <w:bookmarkStart w:id="27" w:name="_Hlk55550741"/>
    <w:r>
      <w:rPr>
        <w:noProof/>
      </w:rPr>
      <w:pict w14:anchorId="1BD73F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2B9EE1E3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094C7AB7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352F24AE" w14:textId="77777777" w:rsidR="00F251A4" w:rsidRDefault="00F251A4" w:rsidP="00F251A4">
    <w:pPr>
      <w:pStyle w:val="Header"/>
      <w:rPr>
        <w:szCs w:val="22"/>
        <w:lang w:val="en-US"/>
      </w:rPr>
    </w:pPr>
  </w:p>
  <w:p w14:paraId="6C9EEBEB" w14:textId="77777777" w:rsidR="00F251A4" w:rsidRDefault="00F251A4" w:rsidP="00F251A4">
    <w:pPr>
      <w:pStyle w:val="Header"/>
      <w:rPr>
        <w:szCs w:val="22"/>
        <w:lang w:val="en-US"/>
      </w:rPr>
    </w:pPr>
  </w:p>
  <w:p w14:paraId="27CD85DE" w14:textId="77777777" w:rsidR="00F251A4" w:rsidRDefault="00F251A4" w:rsidP="00F251A4">
    <w:pPr>
      <w:pStyle w:val="Header"/>
      <w:rPr>
        <w:szCs w:val="22"/>
        <w:lang w:val="en-US"/>
      </w:rPr>
    </w:pPr>
  </w:p>
  <w:p w14:paraId="129553EB" w14:textId="77777777" w:rsidR="00F251A4" w:rsidRPr="00153347" w:rsidRDefault="00F251A4" w:rsidP="00F251A4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05C10FAE" w14:textId="77777777" w:rsidR="00F251A4" w:rsidRDefault="00F251A4" w:rsidP="00F251A4">
    <w:pPr>
      <w:pStyle w:val="Header"/>
      <w:rPr>
        <w:szCs w:val="22"/>
        <w:lang w:val="en-US"/>
      </w:rPr>
    </w:pPr>
  </w:p>
  <w:p w14:paraId="5A832741" w14:textId="77777777" w:rsidR="00F251A4" w:rsidRPr="00863A5C" w:rsidRDefault="00F251A4" w:rsidP="00F251A4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  <w:p w14:paraId="763E3E89" w14:textId="77777777"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3920D" w14:textId="77777777"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90580A"/>
    <w:multiLevelType w:val="hybridMultilevel"/>
    <w:tmpl w:val="82045F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9"/>
  </w:num>
  <w:num w:numId="8">
    <w:abstractNumId w:val="61"/>
  </w:num>
  <w:num w:numId="9">
    <w:abstractNumId w:val="23"/>
  </w:num>
  <w:num w:numId="10">
    <w:abstractNumId w:val="32"/>
  </w:num>
  <w:num w:numId="11">
    <w:abstractNumId w:val="10"/>
  </w:num>
  <w:num w:numId="12">
    <w:abstractNumId w:val="24"/>
  </w:num>
  <w:num w:numId="13">
    <w:abstractNumId w:val="46"/>
  </w:num>
  <w:num w:numId="14">
    <w:abstractNumId w:val="14"/>
  </w:num>
  <w:num w:numId="15">
    <w:abstractNumId w:val="34"/>
  </w:num>
  <w:num w:numId="16">
    <w:abstractNumId w:val="71"/>
  </w:num>
  <w:num w:numId="17">
    <w:abstractNumId w:val="13"/>
  </w:num>
  <w:num w:numId="18">
    <w:abstractNumId w:val="18"/>
  </w:num>
  <w:num w:numId="19">
    <w:abstractNumId w:val="47"/>
  </w:num>
  <w:num w:numId="20">
    <w:abstractNumId w:val="72"/>
  </w:num>
  <w:num w:numId="21">
    <w:abstractNumId w:val="25"/>
  </w:num>
  <w:num w:numId="22">
    <w:abstractNumId w:val="17"/>
  </w:num>
  <w:num w:numId="23">
    <w:abstractNumId w:val="77"/>
  </w:num>
  <w:num w:numId="24">
    <w:abstractNumId w:val="41"/>
  </w:num>
  <w:num w:numId="25">
    <w:abstractNumId w:val="39"/>
  </w:num>
  <w:num w:numId="26">
    <w:abstractNumId w:val="57"/>
  </w:num>
  <w:num w:numId="27">
    <w:abstractNumId w:val="7"/>
  </w:num>
  <w:num w:numId="28">
    <w:abstractNumId w:val="68"/>
  </w:num>
  <w:num w:numId="29">
    <w:abstractNumId w:val="36"/>
  </w:num>
  <w:num w:numId="30">
    <w:abstractNumId w:val="21"/>
  </w:num>
  <w:num w:numId="31">
    <w:abstractNumId w:val="73"/>
  </w:num>
  <w:num w:numId="32">
    <w:abstractNumId w:val="76"/>
  </w:num>
  <w:num w:numId="33">
    <w:abstractNumId w:val="12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0"/>
  </w:num>
  <w:num w:numId="41">
    <w:abstractNumId w:val="16"/>
  </w:num>
  <w:num w:numId="42">
    <w:abstractNumId w:val="38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3"/>
  </w:num>
  <w:num w:numId="48">
    <w:abstractNumId w:val="66"/>
  </w:num>
  <w:num w:numId="49">
    <w:abstractNumId w:val="28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6"/>
  </w:num>
  <w:num w:numId="57">
    <w:abstractNumId w:val="64"/>
  </w:num>
  <w:num w:numId="58">
    <w:abstractNumId w:val="58"/>
  </w:num>
  <w:num w:numId="59">
    <w:abstractNumId w:val="69"/>
  </w:num>
  <w:num w:numId="60">
    <w:abstractNumId w:val="22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9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1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cxNzayMDIxMrZQ0lEKTi0uzszPAykwrAUANUp3fC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53E7D"/>
    <w:rsid w:val="00286A23"/>
    <w:rsid w:val="00290DA9"/>
    <w:rsid w:val="00295092"/>
    <w:rsid w:val="002B13F4"/>
    <w:rsid w:val="002D02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3674"/>
    <w:rsid w:val="00624333"/>
    <w:rsid w:val="006250B5"/>
    <w:rsid w:val="006316A2"/>
    <w:rsid w:val="0063320F"/>
    <w:rsid w:val="00641155"/>
    <w:rsid w:val="00646041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38DE"/>
    <w:rsid w:val="00D45870"/>
    <w:rsid w:val="00D50985"/>
    <w:rsid w:val="00D53C39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452DA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1A4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874E274"/>
  <w15:docId w15:val="{CF5C046A-B9E0-4BF4-9A66-E8BB3C86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52DA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452DA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E452DA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E452DA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E452DA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E452DA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E452DA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E452DA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E452D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E452D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E452DA"/>
    <w:pPr>
      <w:ind w:left="2127" w:hanging="1418"/>
    </w:pPr>
  </w:style>
  <w:style w:type="paragraph" w:customStyle="1" w:styleId="2zanoren">
    <w:name w:val="2.zanorení"/>
    <w:basedOn w:val="text-3mezera"/>
    <w:rsid w:val="00E452DA"/>
    <w:pPr>
      <w:ind w:left="3402" w:hanging="1278"/>
    </w:pPr>
  </w:style>
  <w:style w:type="paragraph" w:customStyle="1" w:styleId="bulletsub">
    <w:name w:val="bullet_sub"/>
    <w:basedOn w:val="Normal"/>
    <w:rsid w:val="00E452D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E452D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E452D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E452D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rsid w:val="00E452D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E452D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E452DA"/>
    <w:pPr>
      <w:jc w:val="both"/>
    </w:pPr>
    <w:rPr>
      <w:sz w:val="22"/>
    </w:rPr>
  </w:style>
  <w:style w:type="paragraph" w:styleId="BodyText">
    <w:name w:val="Body Text"/>
    <w:basedOn w:val="Normal"/>
    <w:rsid w:val="00E452DA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E452D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E452D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E452DA"/>
    <w:rPr>
      <w:sz w:val="20"/>
    </w:rPr>
  </w:style>
  <w:style w:type="character" w:styleId="Hyperlink">
    <w:name w:val="Hyperlink"/>
    <w:rsid w:val="00E452DA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E452D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E452D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E452DA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E452DA"/>
    <w:pPr>
      <w:ind w:left="567" w:hanging="567"/>
    </w:pPr>
  </w:style>
  <w:style w:type="paragraph" w:customStyle="1" w:styleId="Nadpis-STRANA">
    <w:name w:val="Nadpis - STRANA"/>
    <w:basedOn w:val="text"/>
    <w:next w:val="Volume"/>
    <w:rsid w:val="00E452DA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E452DA"/>
    <w:rPr>
      <w:vertAlign w:val="superscript"/>
    </w:rPr>
  </w:style>
  <w:style w:type="character" w:styleId="PageNumber">
    <w:name w:val="page number"/>
    <w:basedOn w:val="DefaultParagraphFont"/>
    <w:rsid w:val="00E452DA"/>
  </w:style>
  <w:style w:type="paragraph" w:styleId="PlainText">
    <w:name w:val="Plain Text"/>
    <w:basedOn w:val="Normal"/>
    <w:rsid w:val="00E452DA"/>
    <w:rPr>
      <w:rFonts w:ascii="Courier New" w:hAnsi="Courier New"/>
      <w:sz w:val="20"/>
    </w:rPr>
  </w:style>
  <w:style w:type="character" w:styleId="FollowedHyperlink">
    <w:name w:val="FollowedHyperlink"/>
    <w:rsid w:val="00E452DA"/>
    <w:rPr>
      <w:color w:val="800080"/>
      <w:u w:val="single"/>
    </w:rPr>
  </w:style>
  <w:style w:type="paragraph" w:customStyle="1" w:styleId="Blockquote">
    <w:name w:val="Blockquote"/>
    <w:basedOn w:val="Normal"/>
    <w:rsid w:val="00E452D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E452D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E452DA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E452DA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E452D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E452D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E452DA"/>
    <w:pPr>
      <w:ind w:left="480"/>
    </w:pPr>
  </w:style>
  <w:style w:type="paragraph" w:styleId="TOC4">
    <w:name w:val="toc 4"/>
    <w:basedOn w:val="Normal"/>
    <w:next w:val="Normal"/>
    <w:autoRedefine/>
    <w:semiHidden/>
    <w:rsid w:val="00E452DA"/>
    <w:pPr>
      <w:ind w:left="720"/>
    </w:pPr>
  </w:style>
  <w:style w:type="paragraph" w:styleId="TOC5">
    <w:name w:val="toc 5"/>
    <w:basedOn w:val="Normal"/>
    <w:next w:val="Normal"/>
    <w:autoRedefine/>
    <w:semiHidden/>
    <w:rsid w:val="00E452DA"/>
    <w:pPr>
      <w:ind w:left="960"/>
    </w:pPr>
  </w:style>
  <w:style w:type="paragraph" w:styleId="TOC6">
    <w:name w:val="toc 6"/>
    <w:basedOn w:val="Normal"/>
    <w:next w:val="Normal"/>
    <w:autoRedefine/>
    <w:semiHidden/>
    <w:rsid w:val="00E452DA"/>
    <w:pPr>
      <w:ind w:left="1200"/>
    </w:pPr>
  </w:style>
  <w:style w:type="paragraph" w:styleId="TOC7">
    <w:name w:val="toc 7"/>
    <w:basedOn w:val="Normal"/>
    <w:next w:val="Normal"/>
    <w:autoRedefine/>
    <w:semiHidden/>
    <w:rsid w:val="00E452DA"/>
    <w:pPr>
      <w:ind w:left="1440"/>
    </w:pPr>
  </w:style>
  <w:style w:type="paragraph" w:styleId="TOC8">
    <w:name w:val="toc 8"/>
    <w:basedOn w:val="Normal"/>
    <w:next w:val="Normal"/>
    <w:autoRedefine/>
    <w:semiHidden/>
    <w:rsid w:val="00E452DA"/>
    <w:pPr>
      <w:ind w:left="1680"/>
    </w:pPr>
  </w:style>
  <w:style w:type="paragraph" w:styleId="TOC9">
    <w:name w:val="toc 9"/>
    <w:basedOn w:val="Normal"/>
    <w:next w:val="Normal"/>
    <w:autoRedefine/>
    <w:semiHidden/>
    <w:rsid w:val="00E452DA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E452D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E452DA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  <w:style w:type="character" w:customStyle="1" w:styleId="HeaderChar">
    <w:name w:val="Header Char"/>
    <w:link w:val="Header"/>
    <w:uiPriority w:val="99"/>
    <w:rsid w:val="00F251A4"/>
    <w:rPr>
      <w:rFonts w:ascii="Arial" w:hAnsi="Arial"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7</cp:revision>
  <cp:lastPrinted>2011-09-27T09:12:00Z</cp:lastPrinted>
  <dcterms:created xsi:type="dcterms:W3CDTF">2018-12-18T13:17:00Z</dcterms:created>
  <dcterms:modified xsi:type="dcterms:W3CDTF">2020-11-06T09:19:00Z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