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305389" w14:textId="77777777" w:rsidR="002139C6" w:rsidRPr="00DD2F41" w:rsidRDefault="00C052BE">
      <w:pPr>
        <w:jc w:val="center"/>
        <w:rPr>
          <w:b/>
          <w:sz w:val="28"/>
          <w:szCs w:val="28"/>
          <w:lang w:val="en-GB"/>
        </w:rPr>
      </w:pPr>
      <w:r>
        <w:rPr>
          <w:snapToGrid/>
          <w:sz w:val="22"/>
          <w:szCs w:val="22"/>
          <w:lang w:val="en-GB"/>
        </w:rPr>
        <w:pict w14:anchorId="3EA88C08">
          <v:line id="_x0000_s1028"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19017B33" w14:textId="7050E03B" w:rsidR="0052331D" w:rsidRPr="00DE1A80" w:rsidRDefault="00805EFA" w:rsidP="0052331D">
      <w:pPr>
        <w:jc w:val="center"/>
        <w:rPr>
          <w:rStyle w:val="Strong"/>
          <w:sz w:val="22"/>
          <w:szCs w:val="22"/>
          <w:lang w:val="en-US"/>
        </w:rPr>
      </w:pPr>
      <w:r w:rsidRPr="00BD63A4">
        <w:rPr>
          <w:rStyle w:val="Strong"/>
          <w:sz w:val="22"/>
          <w:szCs w:val="22"/>
          <w:lang w:val="en-GB"/>
        </w:rPr>
        <w:t xml:space="preserve"> </w:t>
      </w:r>
      <w:r w:rsidR="0052331D">
        <w:rPr>
          <w:rStyle w:val="Strong"/>
          <w:sz w:val="22"/>
          <w:szCs w:val="22"/>
          <w:lang w:val="en-GB"/>
        </w:rPr>
        <w:t>Contract title:</w:t>
      </w:r>
      <w:r w:rsidR="0052331D" w:rsidRPr="0052331D">
        <w:rPr>
          <w:rStyle w:val="Strong"/>
          <w:sz w:val="22"/>
          <w:szCs w:val="22"/>
          <w:lang w:val="en-US"/>
        </w:rPr>
        <w:t xml:space="preserve"> </w:t>
      </w:r>
      <w:r w:rsidR="003062AF" w:rsidRPr="003062AF">
        <w:rPr>
          <w:rStyle w:val="Strong"/>
          <w:b w:val="0"/>
          <w:bCs/>
          <w:sz w:val="22"/>
          <w:szCs w:val="22"/>
          <w:lang w:val="en-US"/>
        </w:rPr>
        <w:t>“</w:t>
      </w:r>
      <w:r w:rsidR="0052331D" w:rsidRPr="003062AF">
        <w:rPr>
          <w:rStyle w:val="Strong"/>
          <w:b w:val="0"/>
          <w:bCs/>
          <w:sz w:val="22"/>
          <w:szCs w:val="22"/>
          <w:lang w:val="en-US"/>
        </w:rPr>
        <w:t>Construction works to strengthen the banks and the bed of the Sandanskа Bistritsa river in the village of Lilyanovo, Municipality of Sandanski”</w:t>
      </w:r>
      <w:r w:rsidR="0052331D" w:rsidRPr="00DE1A80">
        <w:rPr>
          <w:rStyle w:val="Strong"/>
          <w:sz w:val="22"/>
          <w:szCs w:val="22"/>
          <w:lang w:val="en-US"/>
        </w:rPr>
        <w:t xml:space="preserve"> </w:t>
      </w:r>
    </w:p>
    <w:p w14:paraId="68E0117E" w14:textId="77777777" w:rsidR="002139C6" w:rsidRPr="00BD63A4" w:rsidRDefault="002139C6">
      <w:pPr>
        <w:jc w:val="center"/>
        <w:rPr>
          <w:rStyle w:val="Strong"/>
          <w:sz w:val="22"/>
          <w:szCs w:val="22"/>
          <w:lang w:val="en-GB"/>
        </w:rPr>
      </w:pPr>
    </w:p>
    <w:p w14:paraId="770BF0ED" w14:textId="2EC8A2B4" w:rsidR="005E63ED" w:rsidRPr="0076200F" w:rsidRDefault="002139C6" w:rsidP="0076200F">
      <w:pPr>
        <w:jc w:val="center"/>
        <w:rPr>
          <w:rStyle w:val="Strong"/>
          <w:b w:val="0"/>
          <w:sz w:val="22"/>
          <w:szCs w:val="22"/>
          <w:lang w:val="en-GB"/>
        </w:rPr>
      </w:pPr>
      <w:r w:rsidRPr="00BD63A4">
        <w:rPr>
          <w:b/>
          <w:sz w:val="22"/>
          <w:szCs w:val="22"/>
          <w:lang w:val="en-GB"/>
        </w:rPr>
        <w:t>Location</w:t>
      </w:r>
      <w:r w:rsidR="0052331D">
        <w:rPr>
          <w:sz w:val="22"/>
          <w:szCs w:val="22"/>
          <w:lang w:val="en-GB"/>
        </w:rPr>
        <w:t xml:space="preserve">: </w:t>
      </w:r>
      <w:r w:rsidR="008772BB">
        <w:rPr>
          <w:sz w:val="22"/>
          <w:szCs w:val="22"/>
          <w:lang w:val="en-GB"/>
        </w:rPr>
        <w:t>Municipality of Sandanski, District of Blagoevgrad, Bulgaria</w:t>
      </w:r>
    </w:p>
    <w:p w14:paraId="2026B25B" w14:textId="77777777" w:rsidR="0052331D"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r w:rsidR="0052331D">
        <w:rPr>
          <w:rStyle w:val="Strong"/>
          <w:sz w:val="22"/>
          <w:szCs w:val="22"/>
          <w:lang w:val="en-GB"/>
        </w:rPr>
        <w:t xml:space="preserve">: </w:t>
      </w:r>
    </w:p>
    <w:p w14:paraId="07950316" w14:textId="77777777" w:rsidR="002139C6" w:rsidRPr="00BD63A4" w:rsidRDefault="0052331D" w:rsidP="0052331D">
      <w:pPr>
        <w:pStyle w:val="PRAGHeading2"/>
        <w:numPr>
          <w:ilvl w:val="0"/>
          <w:numId w:val="0"/>
        </w:numPr>
        <w:ind w:left="284"/>
        <w:rPr>
          <w:rStyle w:val="Strong"/>
          <w:sz w:val="22"/>
          <w:szCs w:val="22"/>
          <w:lang w:val="en-GB"/>
        </w:rPr>
      </w:pPr>
      <w:r w:rsidRPr="00DE1A80">
        <w:rPr>
          <w:color w:val="000000"/>
          <w:szCs w:val="24"/>
          <w:lang w:val="en-US"/>
        </w:rPr>
        <w:t>CB006.2.12.062-07</w:t>
      </w:r>
    </w:p>
    <w:p w14:paraId="7AA4150B"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03C82DBA" w14:textId="77777777" w:rsidR="00B76C69" w:rsidRPr="00BD63A4" w:rsidRDefault="00ED60CD" w:rsidP="0052331D">
      <w:pPr>
        <w:pStyle w:val="PRAGHeading2"/>
        <w:numPr>
          <w:ilvl w:val="0"/>
          <w:numId w:val="0"/>
        </w:numPr>
        <w:ind w:left="284"/>
        <w:rPr>
          <w:sz w:val="22"/>
          <w:szCs w:val="22"/>
          <w:lang w:val="en-GB"/>
        </w:rPr>
      </w:pPr>
      <w:r>
        <w:rPr>
          <w:sz w:val="22"/>
          <w:szCs w:val="22"/>
          <w:lang w:val="en-GB"/>
        </w:rPr>
        <w:t>Simplified</w:t>
      </w:r>
    </w:p>
    <w:p w14:paraId="318EED3F" w14:textId="77777777" w:rsidR="002139C6"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00AB5C8D" w14:textId="4162065B" w:rsidR="0052331D" w:rsidRPr="008772BB" w:rsidRDefault="008772BB" w:rsidP="008772BB">
      <w:pPr>
        <w:pStyle w:val="PRAGHeading2"/>
        <w:numPr>
          <w:ilvl w:val="0"/>
          <w:numId w:val="0"/>
        </w:numPr>
        <w:ind w:left="284"/>
        <w:jc w:val="both"/>
        <w:rPr>
          <w:rStyle w:val="Strong"/>
          <w:b w:val="0"/>
          <w:bCs/>
          <w:sz w:val="22"/>
          <w:szCs w:val="22"/>
          <w:lang w:val="en-GB"/>
        </w:rPr>
      </w:pPr>
      <w:r w:rsidRPr="008772BB">
        <w:rPr>
          <w:rStyle w:val="Strong"/>
          <w:b w:val="0"/>
          <w:bCs/>
          <w:sz w:val="22"/>
          <w:szCs w:val="22"/>
          <w:lang w:val="en-GB"/>
        </w:rPr>
        <w:t>Interreg-IPA CBC Programme Bulgaria-North Macedonia Programme 2014-2020, CCI No 2014TC16I5CB006, Second Call for project proposals No 2014TC16I5CB006 - 2018 – 2</w:t>
      </w:r>
    </w:p>
    <w:p w14:paraId="490A3B14"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14:paraId="28894E67" w14:textId="5B16ED63" w:rsidR="0052331D" w:rsidRDefault="0052331D" w:rsidP="0052331D">
      <w:pPr>
        <w:pStyle w:val="PRAGHeading2"/>
        <w:numPr>
          <w:ilvl w:val="0"/>
          <w:numId w:val="0"/>
        </w:numPr>
        <w:ind w:left="284"/>
        <w:jc w:val="both"/>
        <w:rPr>
          <w:snapToGrid/>
          <w:sz w:val="22"/>
          <w:szCs w:val="22"/>
          <w:lang w:val="en-US"/>
        </w:rPr>
      </w:pPr>
      <w:r w:rsidRPr="00DE1A80">
        <w:rPr>
          <w:sz w:val="22"/>
          <w:szCs w:val="22"/>
          <w:lang w:val="en-US"/>
        </w:rPr>
        <w:t xml:space="preserve">The project is co-funded by EU through Interreg-IPA CBC Programme between Republic of Bulgaria and Republic of North Macedonia, CCI No. 2014TC16I5CB006. </w:t>
      </w:r>
      <w:r w:rsidRPr="00DE1A80">
        <w:rPr>
          <w:snapToGrid/>
          <w:sz w:val="22"/>
          <w:szCs w:val="22"/>
          <w:lang w:val="en-US"/>
        </w:rPr>
        <w:t>The project is co-financed by national budget</w:t>
      </w:r>
      <w:r w:rsidR="008772BB">
        <w:rPr>
          <w:snapToGrid/>
          <w:sz w:val="22"/>
          <w:szCs w:val="22"/>
          <w:lang w:val="en-US"/>
        </w:rPr>
        <w:t>s</w:t>
      </w:r>
      <w:r w:rsidRPr="00DE1A80">
        <w:rPr>
          <w:snapToGrid/>
          <w:sz w:val="22"/>
          <w:szCs w:val="22"/>
          <w:lang w:val="en-US"/>
        </w:rPr>
        <w:t xml:space="preserve"> of the Republic of Bulgaria</w:t>
      </w:r>
      <w:r w:rsidR="008772BB">
        <w:rPr>
          <w:snapToGrid/>
          <w:sz w:val="22"/>
          <w:szCs w:val="22"/>
          <w:lang w:val="en-US"/>
        </w:rPr>
        <w:t xml:space="preserve"> and the Republic of North Macedonia</w:t>
      </w:r>
      <w:r w:rsidRPr="00DE1A80">
        <w:rPr>
          <w:snapToGrid/>
          <w:sz w:val="22"/>
          <w:szCs w:val="22"/>
          <w:lang w:val="en-US"/>
        </w:rPr>
        <w:t>.</w:t>
      </w:r>
    </w:p>
    <w:p w14:paraId="199DCECD" w14:textId="172AE60C" w:rsidR="008772BB" w:rsidRPr="00DE1A80" w:rsidRDefault="008772BB" w:rsidP="0052331D">
      <w:pPr>
        <w:pStyle w:val="PRAGHeading2"/>
        <w:numPr>
          <w:ilvl w:val="0"/>
          <w:numId w:val="0"/>
        </w:numPr>
        <w:ind w:left="284"/>
        <w:jc w:val="both"/>
        <w:rPr>
          <w:snapToGrid/>
          <w:sz w:val="22"/>
          <w:szCs w:val="22"/>
          <w:lang w:val="en-US"/>
        </w:rPr>
      </w:pPr>
      <w:r>
        <w:rPr>
          <w:snapToGrid/>
          <w:sz w:val="22"/>
          <w:szCs w:val="22"/>
          <w:lang w:val="en-US"/>
        </w:rPr>
        <w:t xml:space="preserve">The contract is financed </w:t>
      </w:r>
      <w:r w:rsidRPr="008772BB">
        <w:rPr>
          <w:snapToGrid/>
          <w:sz w:val="22"/>
          <w:szCs w:val="22"/>
          <w:lang w:val="en-US"/>
        </w:rPr>
        <w:t>under Subsidy contract № RD-02-29-159/12.07.2019 under project reference № CB006.2.12.062 and title: “Joint actions for prevention and reduction of the consequences of disasters in the municipalities of Sandanski and Radovish”</w:t>
      </w:r>
      <w:r>
        <w:rPr>
          <w:snapToGrid/>
          <w:sz w:val="22"/>
          <w:szCs w:val="22"/>
          <w:lang w:val="en-US"/>
        </w:rPr>
        <w:t>, BL5 -Equipment and works (PP1).</w:t>
      </w:r>
    </w:p>
    <w:p w14:paraId="1091566F"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14:paraId="32ADA3C3" w14:textId="6717A826" w:rsidR="0052331D" w:rsidRPr="00D330FD" w:rsidRDefault="0052331D" w:rsidP="0052331D">
      <w:pPr>
        <w:ind w:left="426"/>
        <w:outlineLvl w:val="0"/>
        <w:rPr>
          <w:b/>
          <w:bCs/>
          <w:sz w:val="22"/>
          <w:szCs w:val="22"/>
          <w:lang w:val="en-US"/>
        </w:rPr>
      </w:pPr>
      <w:r w:rsidRPr="00D330FD">
        <w:rPr>
          <w:b/>
          <w:bCs/>
          <w:sz w:val="22"/>
          <w:szCs w:val="22"/>
        </w:rPr>
        <w:t>M</w:t>
      </w:r>
      <w:r w:rsidRPr="00D330FD">
        <w:rPr>
          <w:b/>
          <w:bCs/>
          <w:sz w:val="22"/>
          <w:szCs w:val="22"/>
          <w:lang w:val="en-US"/>
        </w:rPr>
        <w:t>unicipality of Sandanski</w:t>
      </w:r>
    </w:p>
    <w:p w14:paraId="119AB3DE" w14:textId="31E3A3E2" w:rsidR="00D330FD" w:rsidRPr="00DE1A80" w:rsidRDefault="00D330FD" w:rsidP="0052331D">
      <w:pPr>
        <w:ind w:left="426"/>
        <w:outlineLvl w:val="0"/>
        <w:rPr>
          <w:sz w:val="22"/>
          <w:szCs w:val="22"/>
          <w:lang w:val="en-US"/>
        </w:rPr>
      </w:pPr>
      <w:r>
        <w:rPr>
          <w:sz w:val="22"/>
          <w:szCs w:val="22"/>
          <w:lang w:val="en-US"/>
        </w:rPr>
        <w:t xml:space="preserve">Official address: 14 Svoboda </w:t>
      </w:r>
      <w:proofErr w:type="spellStart"/>
      <w:r>
        <w:rPr>
          <w:sz w:val="22"/>
          <w:szCs w:val="22"/>
          <w:lang w:val="en-US"/>
        </w:rPr>
        <w:t>blvd.</w:t>
      </w:r>
      <w:proofErr w:type="spellEnd"/>
      <w:r>
        <w:rPr>
          <w:sz w:val="22"/>
          <w:szCs w:val="22"/>
          <w:lang w:val="en-US"/>
        </w:rPr>
        <w:t>, 2800 Sandanski, District of Blagoevgrad, Bulgaria</w:t>
      </w:r>
    </w:p>
    <w:p w14:paraId="34A1E83E" w14:textId="0512E428" w:rsidR="006C703D" w:rsidRDefault="006C703D" w:rsidP="00D330FD">
      <w:pPr>
        <w:snapToGrid w:val="0"/>
        <w:jc w:val="both"/>
        <w:rPr>
          <w:sz w:val="22"/>
          <w:szCs w:val="22"/>
          <w:lang w:val="en-GB"/>
        </w:rPr>
      </w:pPr>
    </w:p>
    <w:p w14:paraId="425750B7" w14:textId="77777777" w:rsidR="002139C6" w:rsidRPr="00DD2F41" w:rsidRDefault="00C052BE">
      <w:pPr>
        <w:ind w:left="360"/>
        <w:jc w:val="center"/>
        <w:rPr>
          <w:rStyle w:val="Strong"/>
          <w:sz w:val="22"/>
          <w:szCs w:val="22"/>
          <w:lang w:val="en-GB"/>
        </w:rPr>
      </w:pPr>
      <w:r>
        <w:rPr>
          <w:b/>
          <w:noProof/>
          <w:snapToGrid/>
          <w:sz w:val="22"/>
          <w:szCs w:val="22"/>
          <w:lang w:val="en-GB" w:eastAsia="en-GB"/>
        </w:rPr>
        <w:pict w14:anchorId="6310EB97">
          <v:line id="_x0000_s1030" style="position:absolute;left:0;text-align:left;z-index:5" from="2.25pt,-.45pt" to="470.25pt,-.4pt" o:allowincell="f" strokecolor="#d4d4d4" strokeweight="1.75pt">
            <v:shadow on="t" origin=",32385f" offset="0,-1pt"/>
          </v:line>
        </w:pict>
      </w:r>
      <w:r w:rsidR="002139C6" w:rsidRPr="00DD2F41">
        <w:rPr>
          <w:rStyle w:val="Strong"/>
          <w:sz w:val="22"/>
          <w:szCs w:val="22"/>
          <w:lang w:val="en-GB"/>
        </w:rPr>
        <w:t>CONTRACT SPECIFICATIONS</w:t>
      </w:r>
    </w:p>
    <w:p w14:paraId="2AC05B01"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30700158" w14:textId="77777777"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14:paraId="53F0477D"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653E04CF" w14:textId="77777777" w:rsidR="00D330FD" w:rsidRPr="00D330FD" w:rsidRDefault="00D330FD" w:rsidP="003F5D28">
      <w:pPr>
        <w:ind w:left="709"/>
        <w:jc w:val="both"/>
        <w:rPr>
          <w:sz w:val="22"/>
          <w:szCs w:val="22"/>
          <w:lang w:val="en-GB"/>
        </w:rPr>
      </w:pPr>
      <w:r w:rsidRPr="00D330FD">
        <w:rPr>
          <w:sz w:val="22"/>
          <w:szCs w:val="22"/>
          <w:lang w:val="en-GB"/>
        </w:rPr>
        <w:lastRenderedPageBreak/>
        <w:t xml:space="preserve">The </w:t>
      </w:r>
      <w:proofErr w:type="spellStart"/>
      <w:r w:rsidRPr="00D330FD">
        <w:rPr>
          <w:sz w:val="22"/>
          <w:szCs w:val="22"/>
          <w:lang w:val="en-GB"/>
        </w:rPr>
        <w:t>Sandanska</w:t>
      </w:r>
      <w:proofErr w:type="spellEnd"/>
      <w:r w:rsidRPr="00D330FD">
        <w:rPr>
          <w:sz w:val="22"/>
          <w:szCs w:val="22"/>
          <w:lang w:val="en-GB"/>
        </w:rPr>
        <w:t xml:space="preserve"> Bistritsa is a river in Municipality of Sandanski. The river is 33 km long and originates of the south-western slopes of the </w:t>
      </w:r>
      <w:proofErr w:type="spellStart"/>
      <w:r w:rsidRPr="00D330FD">
        <w:rPr>
          <w:sz w:val="22"/>
          <w:szCs w:val="22"/>
          <w:lang w:val="en-GB"/>
        </w:rPr>
        <w:t>Pirin</w:t>
      </w:r>
      <w:proofErr w:type="spellEnd"/>
      <w:r w:rsidRPr="00D330FD">
        <w:rPr>
          <w:sz w:val="22"/>
          <w:szCs w:val="22"/>
          <w:lang w:val="en-GB"/>
        </w:rPr>
        <w:t xml:space="preserve"> mountain. Its drainage basin covers a territory of 139 km². </w:t>
      </w:r>
    </w:p>
    <w:p w14:paraId="25161F1B" w14:textId="174B774E" w:rsidR="00D330FD" w:rsidRDefault="00D330FD" w:rsidP="003F5D28">
      <w:pPr>
        <w:ind w:left="709"/>
        <w:jc w:val="both"/>
        <w:rPr>
          <w:sz w:val="22"/>
          <w:szCs w:val="22"/>
          <w:lang w:val="en-GB"/>
        </w:rPr>
      </w:pPr>
      <w:r w:rsidRPr="00D330FD">
        <w:rPr>
          <w:sz w:val="22"/>
          <w:szCs w:val="22"/>
          <w:lang w:val="en-GB"/>
        </w:rPr>
        <w:t xml:space="preserve">There are three settlements along the river - town Sandanski and two villages, Lilyanovo and </w:t>
      </w:r>
      <w:proofErr w:type="spellStart"/>
      <w:r w:rsidRPr="00D330FD">
        <w:rPr>
          <w:sz w:val="22"/>
          <w:szCs w:val="22"/>
          <w:lang w:val="en-GB"/>
        </w:rPr>
        <w:t>Stozha</w:t>
      </w:r>
      <w:proofErr w:type="spellEnd"/>
      <w:r w:rsidRPr="00D330FD">
        <w:rPr>
          <w:sz w:val="22"/>
          <w:szCs w:val="22"/>
          <w:lang w:val="en-GB"/>
        </w:rPr>
        <w:t xml:space="preserve">. Therefore, it is vital to have the river banks safe and fortified.  During the late spring and in winter, the river is high and dangerous, especially in the sector which goes through both villages. As a result, in the event of heavy rain and flash floods, there is a significant possibility of flooding of houses, private properties and agricultural land. In 2010 the river had gone out of its riverbed and flooded the nearby areas and houses of the residents of the villages of Lilyanovo and </w:t>
      </w:r>
      <w:proofErr w:type="spellStart"/>
      <w:r w:rsidRPr="00D330FD">
        <w:rPr>
          <w:sz w:val="22"/>
          <w:szCs w:val="22"/>
          <w:lang w:val="en-GB"/>
        </w:rPr>
        <w:t>Stozha</w:t>
      </w:r>
      <w:proofErr w:type="spellEnd"/>
      <w:r w:rsidRPr="00D330FD">
        <w:rPr>
          <w:sz w:val="22"/>
          <w:szCs w:val="22"/>
          <w:lang w:val="en-GB"/>
        </w:rPr>
        <w:t>.</w:t>
      </w:r>
    </w:p>
    <w:p w14:paraId="168C5F39" w14:textId="77777777" w:rsidR="00E5035D" w:rsidRDefault="00D330FD" w:rsidP="003F5D28">
      <w:pPr>
        <w:ind w:left="709"/>
        <w:jc w:val="both"/>
        <w:rPr>
          <w:sz w:val="22"/>
          <w:szCs w:val="22"/>
          <w:lang w:val="en-GB"/>
        </w:rPr>
      </w:pPr>
      <w:r>
        <w:rPr>
          <w:sz w:val="22"/>
          <w:szCs w:val="22"/>
          <w:lang w:val="en-GB"/>
        </w:rPr>
        <w:t xml:space="preserve">The purpose of the current works contract is to carry out the envisaged infrastructure activities and works on a specific section of the </w:t>
      </w:r>
      <w:proofErr w:type="spellStart"/>
      <w:r>
        <w:rPr>
          <w:sz w:val="22"/>
          <w:szCs w:val="22"/>
          <w:lang w:val="en-GB"/>
        </w:rPr>
        <w:t>Sandanska</w:t>
      </w:r>
      <w:proofErr w:type="spellEnd"/>
      <w:r>
        <w:rPr>
          <w:sz w:val="22"/>
          <w:szCs w:val="22"/>
          <w:lang w:val="en-GB"/>
        </w:rPr>
        <w:t xml:space="preserve"> Bistritsa riverbed, located in the villages of Lilyanovo and </w:t>
      </w:r>
      <w:proofErr w:type="spellStart"/>
      <w:r>
        <w:rPr>
          <w:sz w:val="22"/>
          <w:szCs w:val="22"/>
          <w:lang w:val="en-GB"/>
        </w:rPr>
        <w:t>Stozha</w:t>
      </w:r>
      <w:proofErr w:type="spellEnd"/>
      <w:r>
        <w:rPr>
          <w:sz w:val="22"/>
          <w:szCs w:val="22"/>
          <w:lang w:val="en-GB"/>
        </w:rPr>
        <w:t xml:space="preserve">, </w:t>
      </w:r>
      <w:r w:rsidR="003F5D28">
        <w:rPr>
          <w:sz w:val="22"/>
          <w:szCs w:val="22"/>
          <w:lang w:val="en-GB"/>
        </w:rPr>
        <w:t xml:space="preserve">including construction of corrective walls, construction of water catchment, gabions, as well as other works related to cleaning and deepening of the river bed, shaping of slopes, forestation, etc. </w:t>
      </w:r>
    </w:p>
    <w:p w14:paraId="0596C4D8" w14:textId="19F2E6C9" w:rsidR="00D330FD" w:rsidRPr="00E5035D" w:rsidRDefault="00E5035D" w:rsidP="003F5D28">
      <w:pPr>
        <w:ind w:left="709"/>
        <w:jc w:val="both"/>
        <w:rPr>
          <w:b/>
          <w:bCs/>
          <w:sz w:val="22"/>
          <w:szCs w:val="22"/>
          <w:lang w:val="en-GB"/>
        </w:rPr>
      </w:pPr>
      <w:r w:rsidRPr="00E5035D">
        <w:rPr>
          <w:b/>
          <w:bCs/>
          <w:sz w:val="22"/>
          <w:szCs w:val="22"/>
          <w:lang w:val="en-GB"/>
        </w:rPr>
        <w:t>Detailed technical specifications along with the working plans and construction documents are provided as part of the tender dossier.</w:t>
      </w:r>
    </w:p>
    <w:p w14:paraId="0CB7119F" w14:textId="77777777" w:rsidR="00B24E1F" w:rsidRPr="00DD2F41" w:rsidRDefault="00B24E1F" w:rsidP="00B24E1F">
      <w:pPr>
        <w:pStyle w:val="PRAGHeading2"/>
        <w:rPr>
          <w:rStyle w:val="Strong"/>
          <w:sz w:val="22"/>
          <w:szCs w:val="22"/>
          <w:lang w:val="en-GB"/>
        </w:rPr>
      </w:pPr>
      <w:bookmarkStart w:id="0" w:name="_Hlk55508819"/>
      <w:r>
        <w:rPr>
          <w:rStyle w:val="Strong"/>
          <w:sz w:val="22"/>
          <w:szCs w:val="22"/>
          <w:lang w:val="en-GB"/>
        </w:rPr>
        <w:t>Provisional commencement date of the contract</w:t>
      </w:r>
    </w:p>
    <w:p w14:paraId="662BA759" w14:textId="313A0587" w:rsidR="0052331D" w:rsidRPr="003122A5" w:rsidRDefault="00E5035D" w:rsidP="003122A5">
      <w:pPr>
        <w:pStyle w:val="PRAGHeading2"/>
        <w:numPr>
          <w:ilvl w:val="0"/>
          <w:numId w:val="0"/>
        </w:numPr>
        <w:ind w:left="284" w:firstLine="436"/>
        <w:rPr>
          <w:b/>
          <w:bCs/>
          <w:lang w:val="en-US"/>
        </w:rPr>
      </w:pPr>
      <w:r w:rsidRPr="00E5035D">
        <w:rPr>
          <w:b/>
          <w:bCs/>
          <w:highlight w:val="yellow"/>
          <w:lang w:val="en-US"/>
        </w:rPr>
        <w:t>0</w:t>
      </w:r>
      <w:r w:rsidR="00D23217" w:rsidRPr="00E5035D">
        <w:rPr>
          <w:b/>
          <w:bCs/>
          <w:highlight w:val="yellow"/>
          <w:lang w:val="en-US"/>
        </w:rPr>
        <w:t>5.01.202</w:t>
      </w:r>
      <w:r w:rsidRPr="00E5035D">
        <w:rPr>
          <w:b/>
          <w:bCs/>
          <w:highlight w:val="yellow"/>
          <w:lang w:val="en-US"/>
        </w:rPr>
        <w:t>1</w:t>
      </w:r>
    </w:p>
    <w:bookmarkEnd w:id="0"/>
    <w:p w14:paraId="33BFF014" w14:textId="77777777"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14:paraId="2CD885EB" w14:textId="00CF0585" w:rsidR="002E09EF" w:rsidRPr="003122A5" w:rsidRDefault="003F5D28" w:rsidP="003122A5">
      <w:pPr>
        <w:ind w:left="709"/>
        <w:jc w:val="both"/>
        <w:rPr>
          <w:sz w:val="22"/>
          <w:szCs w:val="22"/>
          <w:lang w:val="en-GB"/>
        </w:rPr>
      </w:pPr>
      <w:r w:rsidRPr="003122A5">
        <w:rPr>
          <w:sz w:val="22"/>
          <w:szCs w:val="22"/>
          <w:lang w:val="en-US"/>
        </w:rPr>
        <w:t xml:space="preserve">The period of implementation of tasks shall be </w:t>
      </w:r>
      <w:r w:rsidRPr="00B13B70">
        <w:rPr>
          <w:b/>
          <w:bCs/>
          <w:sz w:val="22"/>
          <w:szCs w:val="22"/>
          <w:highlight w:val="yellow"/>
          <w:lang w:val="en-US"/>
        </w:rPr>
        <w:t>6 months (1</w:t>
      </w:r>
      <w:r w:rsidR="003122A5" w:rsidRPr="00B13B70">
        <w:rPr>
          <w:b/>
          <w:bCs/>
          <w:sz w:val="22"/>
          <w:szCs w:val="22"/>
          <w:highlight w:val="yellow"/>
          <w:lang w:val="en-US"/>
        </w:rPr>
        <w:t>8</w:t>
      </w:r>
      <w:r w:rsidRPr="00B13B70">
        <w:rPr>
          <w:b/>
          <w:bCs/>
          <w:sz w:val="22"/>
          <w:szCs w:val="22"/>
          <w:highlight w:val="yellow"/>
          <w:lang w:val="en-US"/>
        </w:rPr>
        <w:t>0 days)</w:t>
      </w:r>
      <w:r w:rsidRPr="003122A5">
        <w:rPr>
          <w:sz w:val="22"/>
          <w:szCs w:val="22"/>
          <w:lang w:val="en-US"/>
        </w:rPr>
        <w:t xml:space="preserve"> from the issuing of contract, provision of access to the sites of construction (with protocol for opening a construction site and for determining the construction line and level (Annexes № 2 and 2a) as per Ordinance № 3 of 31 July 2003 on drawing up acts and protocols during the construction) and the provision of necessary construction documentation and permissions mentioned in Article 8.1 of this Special conditions until the provisional acceptance (with Statement of findings for establishing the suitability for acceptance of the construction (Annex № 15) ) as per Ordinance № 3 of 31 July 2003 on drawing up acts and protocols during the construction) without prejudice to extensions of the period which may be granted under Article 35 of the General Conditions, but not later than the end date of project CB006.2.12.</w:t>
      </w:r>
      <w:r w:rsidR="003122A5" w:rsidRPr="003122A5">
        <w:rPr>
          <w:sz w:val="22"/>
          <w:szCs w:val="22"/>
          <w:lang w:val="en-US"/>
        </w:rPr>
        <w:t>062</w:t>
      </w:r>
      <w:r w:rsidRPr="003122A5">
        <w:rPr>
          <w:sz w:val="22"/>
          <w:szCs w:val="22"/>
          <w:lang w:val="en-US"/>
        </w:rPr>
        <w:t>.</w:t>
      </w:r>
    </w:p>
    <w:p w14:paraId="09964C09" w14:textId="77777777" w:rsidR="00B24E1F" w:rsidRPr="002E09EF" w:rsidRDefault="00B24E1F" w:rsidP="00D62A71">
      <w:pPr>
        <w:ind w:left="709"/>
        <w:rPr>
          <w:sz w:val="22"/>
          <w:szCs w:val="22"/>
          <w:lang w:val="en-GB"/>
        </w:rPr>
      </w:pPr>
    </w:p>
    <w:p w14:paraId="65EFA991" w14:textId="77777777" w:rsidR="002139C6" w:rsidRPr="00DD2F41" w:rsidRDefault="00C052BE">
      <w:pPr>
        <w:ind w:left="360"/>
        <w:jc w:val="center"/>
        <w:rPr>
          <w:rStyle w:val="Strong"/>
          <w:sz w:val="22"/>
          <w:szCs w:val="22"/>
          <w:lang w:val="en-GB"/>
        </w:rPr>
      </w:pPr>
      <w:r>
        <w:rPr>
          <w:b/>
          <w:noProof/>
          <w:snapToGrid/>
          <w:sz w:val="22"/>
          <w:szCs w:val="22"/>
          <w:lang w:val="en-GB" w:eastAsia="en-GB"/>
        </w:rPr>
        <w:pict w14:anchorId="1B2AF426">
          <v:line id="_x0000_s1029" style="position:absolute;left:0;text-align:left;z-index:4" from="2.25pt,.9pt" to="470.25pt,.95pt" o:allowincell="f" strokecolor="#d4d4d4" strokeweight="1.75pt">
            <v:shadow on="t" origin=",32385f" offset="0,-1pt"/>
          </v:line>
        </w:pict>
      </w:r>
      <w:r w:rsidR="002139C6" w:rsidRPr="00DD2F41">
        <w:rPr>
          <w:rStyle w:val="Strong"/>
          <w:sz w:val="22"/>
          <w:szCs w:val="22"/>
          <w:lang w:val="en-GB"/>
        </w:rPr>
        <w:t>TERMS OF PARTICIPATION</w:t>
      </w:r>
    </w:p>
    <w:p w14:paraId="364917A3" w14:textId="77777777"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14:paraId="2D1C9AA3" w14:textId="4FC92EC3"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 xml:space="preserve">Participation in this tender procedure is </w:t>
      </w:r>
      <w:r w:rsidR="00B402F9">
        <w:rPr>
          <w:sz w:val="22"/>
          <w:szCs w:val="22"/>
          <w:lang w:val="en-GB"/>
        </w:rPr>
        <w:t xml:space="preserve">not </w:t>
      </w:r>
      <w:r w:rsidRPr="00BD11C0">
        <w:rPr>
          <w:sz w:val="22"/>
          <w:szCs w:val="22"/>
          <w:lang w:val="en-GB"/>
        </w:rPr>
        <w:t>open only to the invited tenderers.</w:t>
      </w:r>
    </w:p>
    <w:p w14:paraId="3D653190" w14:textId="77777777" w:rsidR="000158F3" w:rsidRDefault="000158F3" w:rsidP="00BD63A4">
      <w:pPr>
        <w:pStyle w:val="PRAGHeading2"/>
        <w:numPr>
          <w:ilvl w:val="0"/>
          <w:numId w:val="0"/>
        </w:numPr>
        <w:ind w:left="709"/>
        <w:jc w:val="both"/>
        <w:rPr>
          <w:sz w:val="22"/>
          <w:szCs w:val="22"/>
          <w:lang w:val="en-GB"/>
        </w:rPr>
      </w:pPr>
      <w:r w:rsidRPr="00D275AD">
        <w:rPr>
          <w:sz w:val="22"/>
          <w:szCs w:val="22"/>
          <w:lang w:val="en-GB"/>
        </w:rPr>
        <w:lastRenderedPageBreak/>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14:paraId="798E41EE" w14:textId="77777777" w:rsidR="00C41524" w:rsidRPr="00252FE8" w:rsidRDefault="00C41524" w:rsidP="00C41524">
      <w:pPr>
        <w:spacing w:after="0"/>
        <w:ind w:left="709"/>
        <w:jc w:val="both"/>
        <w:rPr>
          <w:sz w:val="22"/>
          <w:szCs w:val="22"/>
          <w:lang w:val="en-IE"/>
        </w:rPr>
      </w:pPr>
      <w:r w:rsidRPr="00252FE8">
        <w:rPr>
          <w:sz w:val="22"/>
          <w:szCs w:val="22"/>
          <w:lang w:val="en-IE"/>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61843707" w14:textId="77777777" w:rsidR="00C41524" w:rsidRPr="00252FE8" w:rsidRDefault="00C41524" w:rsidP="00C41524">
      <w:pPr>
        <w:spacing w:after="0"/>
        <w:ind w:left="709"/>
        <w:jc w:val="both"/>
        <w:rPr>
          <w:sz w:val="22"/>
          <w:szCs w:val="22"/>
          <w:lang w:val="en-IE"/>
        </w:rPr>
      </w:pPr>
      <w:r w:rsidRPr="00252FE8">
        <w:rPr>
          <w:sz w:val="22"/>
          <w:szCs w:val="22"/>
          <w:lang w:val="en-IE"/>
        </w:rPr>
        <w:t>* Agreement on the withdrawal of the United Kingdom of Great Britain and Northern Ireland from the European Union and the European Atomic Energy Community.</w:t>
      </w:r>
    </w:p>
    <w:p w14:paraId="283FF337" w14:textId="77777777" w:rsidR="00C41524" w:rsidRPr="00252FE8" w:rsidRDefault="00C41524" w:rsidP="00C41524">
      <w:pPr>
        <w:spacing w:after="0"/>
        <w:ind w:left="709"/>
        <w:jc w:val="both"/>
        <w:rPr>
          <w:sz w:val="22"/>
          <w:szCs w:val="22"/>
          <w:lang w:val="en-IE"/>
        </w:rPr>
      </w:pPr>
      <w:r w:rsidRPr="00252FE8">
        <w:rPr>
          <w:sz w:val="22"/>
          <w:szCs w:val="22"/>
          <w:lang w:val="en-IE"/>
        </w:rPr>
        <w:t>** Regulation (EU) No 236/2014 of the European Parliament and of the Council of 11 March 2014 laying down common rules and procedures for the implementation of the Union's instruments for financing external action.</w:t>
      </w:r>
    </w:p>
    <w:p w14:paraId="38625F7F" w14:textId="77777777" w:rsidR="00C41524" w:rsidRPr="00252FE8" w:rsidRDefault="00C41524" w:rsidP="00C41524">
      <w:pPr>
        <w:spacing w:after="0"/>
        <w:ind w:left="709"/>
        <w:jc w:val="both"/>
        <w:rPr>
          <w:sz w:val="22"/>
          <w:szCs w:val="22"/>
          <w:lang w:val="en-IE"/>
        </w:rPr>
      </w:pPr>
      <w:r w:rsidRPr="00252FE8">
        <w:rPr>
          <w:sz w:val="22"/>
          <w:szCs w:val="22"/>
          <w:lang w:val="en-IE"/>
        </w:rPr>
        <w:t>*** Annex IV to the ACP-EU Partnership Agreement, as revised by Decision 1/2014 of the ACP-EU Council of Ministers (OJ L196/40, 3.7.2014)</w:t>
      </w:r>
    </w:p>
    <w:p w14:paraId="30F64ECC" w14:textId="77941608" w:rsidR="00C41524" w:rsidRPr="003C07AC" w:rsidRDefault="00C41524" w:rsidP="00C41524">
      <w:pPr>
        <w:spacing w:after="0"/>
        <w:ind w:left="709"/>
        <w:jc w:val="both"/>
        <w:rPr>
          <w:rFonts w:eastAsia="Calibri"/>
          <w:sz w:val="22"/>
          <w:szCs w:val="22"/>
          <w:lang w:val="en-IE" w:eastAsia="fr-BE"/>
        </w:rPr>
      </w:pPr>
      <w:r w:rsidRPr="00252FE8">
        <w:rPr>
          <w:sz w:val="22"/>
          <w:szCs w:val="22"/>
          <w:lang w:val="en-IE"/>
        </w:rPr>
        <w:t>**** including the Overseas Countries and Territories having special relations with the United Kingdom, as laid down in Part Four and Annex II of the TFEU</w:t>
      </w:r>
    </w:p>
    <w:p w14:paraId="095E51CE" w14:textId="77777777"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14:paraId="5BDB4419" w14:textId="7F5A1F22" w:rsidR="002019D9" w:rsidRPr="00DE1A80" w:rsidRDefault="002019D9" w:rsidP="00507BB0">
      <w:pPr>
        <w:pStyle w:val="PRAGHeading2"/>
        <w:keepNext/>
        <w:keepLines/>
        <w:numPr>
          <w:ilvl w:val="0"/>
          <w:numId w:val="0"/>
        </w:numPr>
        <w:ind w:left="720"/>
        <w:jc w:val="both"/>
        <w:rPr>
          <w:sz w:val="22"/>
          <w:szCs w:val="22"/>
          <w:lang w:val="en-US"/>
        </w:rPr>
      </w:pPr>
      <w:r w:rsidRPr="00DE1A80">
        <w:rPr>
          <w:rStyle w:val="Strong"/>
          <w:b w:val="0"/>
          <w:sz w:val="22"/>
          <w:szCs w:val="22"/>
          <w:lang w:val="en-US"/>
        </w:rPr>
        <w:t>Subcontracting is allowed.</w:t>
      </w:r>
    </w:p>
    <w:p w14:paraId="05D05638" w14:textId="77777777" w:rsidR="002019D9" w:rsidRPr="00DE1A80" w:rsidRDefault="002019D9" w:rsidP="002019D9">
      <w:pPr>
        <w:pStyle w:val="PRAGHeading2"/>
        <w:keepNext/>
        <w:keepLines/>
        <w:numPr>
          <w:ilvl w:val="0"/>
          <w:numId w:val="0"/>
        </w:numPr>
        <w:ind w:left="720"/>
        <w:jc w:val="both"/>
        <w:rPr>
          <w:rStyle w:val="Strong"/>
          <w:sz w:val="22"/>
          <w:szCs w:val="22"/>
          <w:lang w:val="en-US"/>
        </w:rPr>
      </w:pPr>
      <w:r w:rsidRPr="00DE1A80">
        <w:rPr>
          <w:sz w:val="22"/>
          <w:szCs w:val="22"/>
          <w:lang w:val="en-US"/>
        </w:rPr>
        <w:t>Subcontractors, suppliers and entities upon whose capacity the tenderer relies for the selection criteria, must be eligible in respect of the rules on nationality and origin for the financing programme detailed in Section 10 above.</w:t>
      </w:r>
    </w:p>
    <w:p w14:paraId="24885260" w14:textId="6DA8417E" w:rsidR="00B24E1F" w:rsidRPr="00DD2F41" w:rsidRDefault="00B24E1F" w:rsidP="00507BB0">
      <w:pPr>
        <w:pStyle w:val="PRAGHeading2"/>
        <w:rPr>
          <w:rStyle w:val="Strong"/>
          <w:sz w:val="22"/>
          <w:szCs w:val="22"/>
          <w:lang w:val="en-GB"/>
        </w:rPr>
      </w:pPr>
      <w:r w:rsidRPr="00B24E1F">
        <w:rPr>
          <w:rStyle w:val="Strong"/>
          <w:sz w:val="22"/>
          <w:szCs w:val="22"/>
          <w:lang w:val="en-GB"/>
        </w:rPr>
        <w:t>Grounds for exclusion</w:t>
      </w:r>
    </w:p>
    <w:p w14:paraId="1CCCF0EA" w14:textId="77777777" w:rsidR="003720EC" w:rsidRDefault="003720EC" w:rsidP="0076200F">
      <w:pPr>
        <w:keepNext/>
        <w:keepLines/>
        <w:ind w:left="709"/>
        <w:jc w:val="both"/>
        <w:rPr>
          <w:sz w:val="22"/>
          <w:szCs w:val="22"/>
          <w:lang w:val="en-GB"/>
        </w:rPr>
      </w:pPr>
      <w:r w:rsidRPr="003720EC">
        <w:rPr>
          <w:sz w:val="22"/>
          <w:szCs w:val="22"/>
          <w:lang w:val="en-GB"/>
        </w:rPr>
        <w:lastRenderedPageBreak/>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7D42F1C8"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0C428F61"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70832A51"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72FB5A76"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2FCA5695" w14:textId="77777777" w:rsidR="002139C6" w:rsidRPr="00DD2F41" w:rsidRDefault="00C052BE" w:rsidP="0076200F">
      <w:pPr>
        <w:keepNext/>
        <w:keepLines/>
        <w:jc w:val="both"/>
        <w:rPr>
          <w:sz w:val="22"/>
          <w:szCs w:val="22"/>
          <w:lang w:val="en-GB"/>
        </w:rPr>
      </w:pPr>
      <w:r>
        <w:rPr>
          <w:snapToGrid/>
          <w:sz w:val="22"/>
          <w:szCs w:val="22"/>
          <w:lang w:val="en-GB"/>
        </w:rPr>
        <w:pict w14:anchorId="59E505AF">
          <v:line id="_x0000_s1026" style="position:absolute;left:0;text-align:left;z-index:1" from="0,12pt" to="468pt,12.05pt" o:allowincell="f" strokecolor="#d4d4d4" strokeweight="1.75pt">
            <v:shadow on="t" origin=",32385f" offset="0,-1pt"/>
          </v:line>
        </w:pict>
      </w:r>
    </w:p>
    <w:p w14:paraId="00685365" w14:textId="77777777" w:rsidR="002139C6"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5B57BE75"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39ABBB4B" w14:textId="77777777" w:rsidR="00E344DB" w:rsidRPr="00DE1A80" w:rsidRDefault="00E344DB" w:rsidP="00E344DB">
      <w:pPr>
        <w:pStyle w:val="Heading3"/>
        <w:numPr>
          <w:ilvl w:val="0"/>
          <w:numId w:val="0"/>
        </w:numPr>
        <w:ind w:left="720"/>
        <w:rPr>
          <w:lang w:val="en-US"/>
        </w:rPr>
      </w:pPr>
      <w:r w:rsidRPr="00DE1A80">
        <w:rPr>
          <w:lang w:val="en-US"/>
        </w:rPr>
        <w:t>In order to be eligible for the award of the contract, tenderers must provide evidence that they meet the selection criteria. If a tender is submitted by a consortium, unless specified, the selection criteria will be applied to the consortium as a whole.</w:t>
      </w:r>
    </w:p>
    <w:p w14:paraId="0C3D07BD" w14:textId="77777777" w:rsidR="00E344DB" w:rsidRPr="00DE1A80" w:rsidRDefault="00E344DB" w:rsidP="00E344DB">
      <w:pPr>
        <w:ind w:left="720"/>
        <w:jc w:val="both"/>
        <w:rPr>
          <w:sz w:val="22"/>
          <w:lang w:val="en-US"/>
        </w:rPr>
      </w:pPr>
      <w:r w:rsidRPr="00DE1A80">
        <w:rPr>
          <w:sz w:val="22"/>
          <w:lang w:val="en-US"/>
        </w:rPr>
        <w:t>The selection criteria for each tenderer are as follows:</w:t>
      </w:r>
    </w:p>
    <w:p w14:paraId="1C5E88D2" w14:textId="5DF952D7" w:rsidR="00E344DB" w:rsidRPr="00DE1A80" w:rsidRDefault="00E344DB" w:rsidP="00E344DB">
      <w:pPr>
        <w:ind w:left="720"/>
        <w:jc w:val="both"/>
        <w:rPr>
          <w:b/>
          <w:i/>
          <w:sz w:val="22"/>
          <w:u w:val="single"/>
          <w:lang w:val="en-US"/>
        </w:rPr>
      </w:pPr>
      <w:r>
        <w:rPr>
          <w:b/>
          <w:i/>
          <w:sz w:val="22"/>
          <w:lang w:val="en-US"/>
        </w:rPr>
        <w:t>1</w:t>
      </w:r>
      <w:r w:rsidR="00507BB0">
        <w:rPr>
          <w:b/>
          <w:i/>
          <w:sz w:val="22"/>
          <w:lang w:val="en-US"/>
        </w:rPr>
        <w:t>4</w:t>
      </w:r>
      <w:r>
        <w:rPr>
          <w:b/>
          <w:i/>
          <w:sz w:val="22"/>
          <w:lang w:val="en-US"/>
        </w:rPr>
        <w:t>.1</w:t>
      </w:r>
      <w:r w:rsidRPr="00DE1A80">
        <w:rPr>
          <w:b/>
          <w:i/>
          <w:sz w:val="22"/>
          <w:lang w:val="en-US"/>
        </w:rPr>
        <w:tab/>
      </w:r>
      <w:r w:rsidRPr="00DE1A80">
        <w:rPr>
          <w:b/>
          <w:i/>
          <w:sz w:val="22"/>
          <w:u w:val="single"/>
          <w:lang w:val="en-US"/>
        </w:rPr>
        <w:t>Economic and financial capacity of candidate:</w:t>
      </w:r>
    </w:p>
    <w:p w14:paraId="14D06E7E" w14:textId="1FB0CD22" w:rsidR="00E344DB" w:rsidRPr="00507BB0" w:rsidRDefault="00E344DB" w:rsidP="00E369AF">
      <w:pPr>
        <w:numPr>
          <w:ilvl w:val="0"/>
          <w:numId w:val="3"/>
        </w:numPr>
        <w:ind w:left="1134" w:hanging="284"/>
        <w:jc w:val="both"/>
        <w:rPr>
          <w:sz w:val="22"/>
          <w:lang w:val="en-US"/>
        </w:rPr>
      </w:pPr>
      <w:r w:rsidRPr="00507BB0">
        <w:rPr>
          <w:sz w:val="22"/>
          <w:lang w:val="en-US"/>
        </w:rPr>
        <w:t>The average annual turnover of the tenderer in the past 3 years must be at least:</w:t>
      </w:r>
      <w:r w:rsidR="00507BB0">
        <w:rPr>
          <w:sz w:val="22"/>
          <w:lang w:val="en-US"/>
        </w:rPr>
        <w:t xml:space="preserve"> </w:t>
      </w:r>
      <w:r w:rsidR="00E5035D">
        <w:rPr>
          <w:b/>
          <w:bCs/>
          <w:sz w:val="22"/>
          <w:highlight w:val="yellow"/>
          <w:lang w:val="en-US"/>
        </w:rPr>
        <w:t>BGN</w:t>
      </w:r>
      <w:r w:rsidRPr="00507BB0">
        <w:rPr>
          <w:b/>
          <w:bCs/>
          <w:sz w:val="22"/>
          <w:highlight w:val="yellow"/>
          <w:lang w:val="en-US"/>
        </w:rPr>
        <w:t xml:space="preserve"> 300 000.00</w:t>
      </w:r>
    </w:p>
    <w:p w14:paraId="18741490" w14:textId="71810C19" w:rsidR="00825C60" w:rsidRDefault="00507BB0" w:rsidP="00825C60">
      <w:pPr>
        <w:ind w:left="850"/>
        <w:jc w:val="both"/>
        <w:rPr>
          <w:sz w:val="22"/>
          <w:lang w:val="en-US"/>
        </w:rPr>
      </w:pPr>
      <w:r w:rsidRPr="00507BB0">
        <w:rPr>
          <w:sz w:val="22"/>
          <w:lang w:val="en-US"/>
        </w:rPr>
        <w:t>The requirement under point 1</w:t>
      </w:r>
      <w:r>
        <w:rPr>
          <w:sz w:val="22"/>
          <w:lang w:val="en-US"/>
        </w:rPr>
        <w:t>4</w:t>
      </w:r>
      <w:r w:rsidRPr="00507BB0">
        <w:rPr>
          <w:sz w:val="22"/>
          <w:lang w:val="en-US"/>
        </w:rPr>
        <w:t>.1.</w:t>
      </w:r>
      <w:r>
        <w:rPr>
          <w:sz w:val="22"/>
          <w:lang w:val="en-US"/>
        </w:rPr>
        <w:t xml:space="preserve"> </w:t>
      </w:r>
      <w:r w:rsidRPr="00507BB0">
        <w:rPr>
          <w:sz w:val="22"/>
          <w:lang w:val="en-US"/>
        </w:rPr>
        <w:t xml:space="preserve">must be proven </w:t>
      </w:r>
      <w:r w:rsidR="00B13B70">
        <w:rPr>
          <w:sz w:val="22"/>
          <w:lang w:val="en-US"/>
        </w:rPr>
        <w:t>with</w:t>
      </w:r>
      <w:r w:rsidRPr="00507BB0">
        <w:rPr>
          <w:sz w:val="22"/>
          <w:lang w:val="en-US"/>
        </w:rPr>
        <w:t xml:space="preserve"> financial statements (balance sheets/ profit &amp; loss statements/ cash flow statements</w:t>
      </w:r>
      <w:r w:rsidR="00CD67FF">
        <w:rPr>
          <w:sz w:val="22"/>
          <w:lang w:val="en-US"/>
        </w:rPr>
        <w:t xml:space="preserve"> or other financial </w:t>
      </w:r>
      <w:proofErr w:type="gramStart"/>
      <w:r w:rsidR="00CD67FF">
        <w:rPr>
          <w:sz w:val="22"/>
          <w:lang w:val="en-US"/>
        </w:rPr>
        <w:t xml:space="preserve">documents </w:t>
      </w:r>
      <w:r w:rsidRPr="00507BB0">
        <w:rPr>
          <w:sz w:val="22"/>
          <w:lang w:val="en-US"/>
        </w:rPr>
        <w:t>)</w:t>
      </w:r>
      <w:proofErr w:type="gramEnd"/>
      <w:r w:rsidRPr="00507BB0">
        <w:rPr>
          <w:sz w:val="22"/>
          <w:lang w:val="en-US"/>
        </w:rPr>
        <w:t xml:space="preserve"> of the tenderer for the last </w:t>
      </w:r>
      <w:r w:rsidR="00CD67FF">
        <w:rPr>
          <w:sz w:val="22"/>
          <w:lang w:val="en-US"/>
        </w:rPr>
        <w:t>3 years for which accounts have been closed.</w:t>
      </w:r>
    </w:p>
    <w:p w14:paraId="74163F0D" w14:textId="588D40AC" w:rsidR="00E344DB" w:rsidRPr="00DE1A80" w:rsidRDefault="00507BB0" w:rsidP="00825C60">
      <w:pPr>
        <w:ind w:left="850"/>
        <w:jc w:val="both"/>
        <w:rPr>
          <w:sz w:val="22"/>
          <w:lang w:val="en-US"/>
        </w:rPr>
      </w:pPr>
      <w:r w:rsidRPr="00507BB0">
        <w:rPr>
          <w:sz w:val="22"/>
          <w:lang w:val="en-US"/>
        </w:rPr>
        <w:t xml:space="preserve">If a tender is submitted by a consortium the selection criteria </w:t>
      </w:r>
      <w:r w:rsidR="00825C60">
        <w:rPr>
          <w:sz w:val="22"/>
          <w:lang w:val="en-US"/>
        </w:rPr>
        <w:t>provided in p.</w:t>
      </w:r>
      <w:r w:rsidRPr="00507BB0">
        <w:rPr>
          <w:sz w:val="22"/>
          <w:lang w:val="en-US"/>
        </w:rPr>
        <w:t xml:space="preserve"> 1</w:t>
      </w:r>
      <w:r w:rsidR="00825C60">
        <w:rPr>
          <w:sz w:val="22"/>
          <w:lang w:val="en-US"/>
        </w:rPr>
        <w:t>4</w:t>
      </w:r>
      <w:r w:rsidRPr="00507BB0">
        <w:rPr>
          <w:sz w:val="22"/>
          <w:lang w:val="en-US"/>
        </w:rPr>
        <w:t>.1.</w:t>
      </w:r>
      <w:r w:rsidR="00825C60">
        <w:rPr>
          <w:sz w:val="22"/>
          <w:lang w:val="en-US"/>
        </w:rPr>
        <w:t xml:space="preserve"> </w:t>
      </w:r>
      <w:r w:rsidRPr="00507BB0">
        <w:rPr>
          <w:sz w:val="22"/>
          <w:lang w:val="en-US"/>
        </w:rPr>
        <w:t xml:space="preserve">for economic and financial capacity will be applied to the consortium </w:t>
      </w:r>
      <w:r w:rsidR="00825C60">
        <w:rPr>
          <w:sz w:val="22"/>
          <w:lang w:val="en-US"/>
        </w:rPr>
        <w:t xml:space="preserve">as a whole. </w:t>
      </w:r>
    </w:p>
    <w:p w14:paraId="3AC3F400" w14:textId="63825968" w:rsidR="00E344DB" w:rsidRPr="00DE1A80" w:rsidRDefault="00E344DB" w:rsidP="00E369AF">
      <w:pPr>
        <w:numPr>
          <w:ilvl w:val="1"/>
          <w:numId w:val="7"/>
        </w:numPr>
        <w:jc w:val="both"/>
        <w:rPr>
          <w:b/>
          <w:i/>
          <w:sz w:val="22"/>
          <w:lang w:val="en-US"/>
        </w:rPr>
      </w:pPr>
      <w:r w:rsidRPr="00DE1A80">
        <w:rPr>
          <w:b/>
          <w:i/>
          <w:sz w:val="22"/>
          <w:u w:val="single"/>
          <w:lang w:val="en-US"/>
        </w:rPr>
        <w:lastRenderedPageBreak/>
        <w:t xml:space="preserve">Technical and professional capacity of </w:t>
      </w:r>
      <w:r w:rsidR="00825C60">
        <w:rPr>
          <w:b/>
          <w:i/>
          <w:sz w:val="22"/>
          <w:u w:val="single"/>
          <w:lang w:val="en-US"/>
        </w:rPr>
        <w:t xml:space="preserve">the </w:t>
      </w:r>
      <w:r w:rsidRPr="00DE1A80">
        <w:rPr>
          <w:b/>
          <w:i/>
          <w:sz w:val="22"/>
          <w:u w:val="single"/>
          <w:lang w:val="en-US"/>
        </w:rPr>
        <w:t>candidate:</w:t>
      </w:r>
    </w:p>
    <w:p w14:paraId="2F223D09" w14:textId="1315B473" w:rsidR="00825C60" w:rsidRDefault="00825C60" w:rsidP="00E369AF">
      <w:pPr>
        <w:numPr>
          <w:ilvl w:val="2"/>
          <w:numId w:val="7"/>
        </w:numPr>
        <w:jc w:val="both"/>
        <w:rPr>
          <w:snapToGrid/>
          <w:sz w:val="22"/>
          <w:szCs w:val="22"/>
          <w:lang w:val="en-GB"/>
        </w:rPr>
      </w:pPr>
      <w:r w:rsidRPr="00FF02C7">
        <w:rPr>
          <w:snapToGrid/>
          <w:sz w:val="22"/>
          <w:szCs w:val="22"/>
          <w:lang w:val="en-GB"/>
        </w:rPr>
        <w:t xml:space="preserve">it must have completed at least </w:t>
      </w:r>
      <w:r w:rsidRPr="00B13B70">
        <w:rPr>
          <w:b/>
          <w:bCs/>
          <w:i/>
          <w:iCs/>
          <w:snapToGrid/>
          <w:sz w:val="22"/>
          <w:szCs w:val="22"/>
          <w:highlight w:val="yellow"/>
          <w:lang w:val="en-GB"/>
        </w:rPr>
        <w:t>1 construction works contract and/or project and/or activity</w:t>
      </w:r>
      <w:r>
        <w:rPr>
          <w:snapToGrid/>
          <w:sz w:val="22"/>
          <w:szCs w:val="22"/>
          <w:lang w:val="en-GB"/>
        </w:rPr>
        <w:t xml:space="preserve"> </w:t>
      </w:r>
      <w:r w:rsidRPr="00FF02C7">
        <w:rPr>
          <w:snapToGrid/>
          <w:sz w:val="22"/>
          <w:szCs w:val="22"/>
          <w:lang w:val="en-GB"/>
        </w:rPr>
        <w:t xml:space="preserve">of the same nature and complexity as the works </w:t>
      </w:r>
      <w:r w:rsidRPr="00FF02C7">
        <w:rPr>
          <w:b/>
          <w:snapToGrid/>
          <w:sz w:val="22"/>
          <w:szCs w:val="22"/>
          <w:lang w:val="en-GB"/>
        </w:rPr>
        <w:t>concerned</w:t>
      </w:r>
      <w:r w:rsidRPr="00FF02C7">
        <w:rPr>
          <w:snapToGrid/>
          <w:sz w:val="22"/>
          <w:szCs w:val="22"/>
          <w:lang w:val="en-GB"/>
        </w:rPr>
        <w:t xml:space="preserve"> by the tender and implemented during the following period: </w:t>
      </w:r>
      <w:r w:rsidR="0025246F">
        <w:rPr>
          <w:b/>
          <w:snapToGrid/>
          <w:sz w:val="22"/>
          <w:szCs w:val="22"/>
          <w:highlight w:val="yellow"/>
          <w:lang w:val="en-GB"/>
        </w:rPr>
        <w:t>09</w:t>
      </w:r>
      <w:r w:rsidRPr="00825C60">
        <w:rPr>
          <w:b/>
          <w:snapToGrid/>
          <w:sz w:val="22"/>
          <w:szCs w:val="22"/>
          <w:highlight w:val="yellow"/>
          <w:lang w:val="en-GB"/>
        </w:rPr>
        <w:t>.1</w:t>
      </w:r>
      <w:r w:rsidR="0025246F">
        <w:rPr>
          <w:b/>
          <w:snapToGrid/>
          <w:sz w:val="22"/>
          <w:szCs w:val="22"/>
          <w:highlight w:val="yellow"/>
          <w:lang w:val="en-GB"/>
        </w:rPr>
        <w:t>1</w:t>
      </w:r>
      <w:r w:rsidRPr="00825C60">
        <w:rPr>
          <w:b/>
          <w:snapToGrid/>
          <w:sz w:val="22"/>
          <w:szCs w:val="22"/>
          <w:highlight w:val="yellow"/>
          <w:lang w:val="en-GB"/>
        </w:rPr>
        <w:t>.2015 –</w:t>
      </w:r>
      <w:r w:rsidRPr="00825C60">
        <w:rPr>
          <w:snapToGrid/>
          <w:sz w:val="22"/>
          <w:szCs w:val="22"/>
          <w:highlight w:val="yellow"/>
          <w:lang w:val="en-GB"/>
        </w:rPr>
        <w:t xml:space="preserve"> </w:t>
      </w:r>
      <w:r w:rsidR="0025246F">
        <w:rPr>
          <w:b/>
          <w:snapToGrid/>
          <w:sz w:val="22"/>
          <w:szCs w:val="22"/>
          <w:highlight w:val="yellow"/>
          <w:lang w:val="en-GB"/>
        </w:rPr>
        <w:t>09</w:t>
      </w:r>
      <w:r w:rsidRPr="00825C60">
        <w:rPr>
          <w:b/>
          <w:snapToGrid/>
          <w:sz w:val="22"/>
          <w:szCs w:val="22"/>
          <w:highlight w:val="yellow"/>
          <w:lang w:val="en-GB"/>
        </w:rPr>
        <w:t>.1</w:t>
      </w:r>
      <w:r w:rsidR="0025246F">
        <w:rPr>
          <w:b/>
          <w:snapToGrid/>
          <w:sz w:val="22"/>
          <w:szCs w:val="22"/>
          <w:highlight w:val="yellow"/>
          <w:lang w:val="en-GB"/>
        </w:rPr>
        <w:t>1</w:t>
      </w:r>
      <w:r w:rsidRPr="00825C60">
        <w:rPr>
          <w:b/>
          <w:snapToGrid/>
          <w:sz w:val="22"/>
          <w:szCs w:val="22"/>
          <w:highlight w:val="yellow"/>
          <w:lang w:val="en-GB"/>
        </w:rPr>
        <w:t>.2020</w:t>
      </w:r>
      <w:r w:rsidRPr="00FF02C7">
        <w:rPr>
          <w:b/>
          <w:snapToGrid/>
          <w:sz w:val="22"/>
          <w:szCs w:val="22"/>
          <w:lang w:val="en-GB"/>
        </w:rPr>
        <w:t xml:space="preserve"> </w:t>
      </w:r>
      <w:r w:rsidRPr="00FF02C7">
        <w:rPr>
          <w:snapToGrid/>
          <w:sz w:val="22"/>
          <w:szCs w:val="22"/>
          <w:lang w:val="en-GB"/>
        </w:rPr>
        <w:t xml:space="preserve">which period is </w:t>
      </w:r>
      <w:r w:rsidRPr="00B13B70">
        <w:rPr>
          <w:b/>
          <w:bCs/>
          <w:snapToGrid/>
          <w:sz w:val="22"/>
          <w:szCs w:val="22"/>
          <w:lang w:val="en-GB"/>
        </w:rPr>
        <w:t>5 years counting from the submission deadline</w:t>
      </w:r>
      <w:r w:rsidRPr="00FF02C7">
        <w:rPr>
          <w:snapToGrid/>
          <w:sz w:val="22"/>
          <w:szCs w:val="22"/>
          <w:lang w:val="en-GB"/>
        </w:rPr>
        <w:t xml:space="preserve">. The contracting authority reserves the right to ask for copies of certificates of final acceptance </w:t>
      </w:r>
      <w:r>
        <w:rPr>
          <w:snapToGrid/>
          <w:sz w:val="22"/>
          <w:szCs w:val="22"/>
          <w:lang w:val="en-GB"/>
        </w:rPr>
        <w:t xml:space="preserve">sheets </w:t>
      </w:r>
      <w:r w:rsidRPr="00FF02C7">
        <w:rPr>
          <w:snapToGrid/>
          <w:sz w:val="22"/>
          <w:szCs w:val="22"/>
          <w:lang w:val="en-GB"/>
        </w:rPr>
        <w:t xml:space="preserve">signed by the supervisors/contracting authority of the contracts and/or projects concerned. </w:t>
      </w:r>
    </w:p>
    <w:p w14:paraId="65AD43B2" w14:textId="77777777" w:rsidR="00873182" w:rsidRDefault="00825C60" w:rsidP="00873182">
      <w:pPr>
        <w:ind w:left="2160"/>
        <w:jc w:val="both"/>
        <w:rPr>
          <w:snapToGrid/>
          <w:sz w:val="22"/>
          <w:szCs w:val="22"/>
          <w:lang w:val="en-GB"/>
        </w:rPr>
      </w:pPr>
      <w:r w:rsidRPr="00B13B70">
        <w:rPr>
          <w:snapToGrid/>
          <w:sz w:val="22"/>
          <w:szCs w:val="22"/>
          <w:highlight w:val="yellow"/>
          <w:lang w:val="en-GB"/>
        </w:rPr>
        <w:t>Contract and/or project and/or activity of the same nature and complexity is considered a contract and/or project and/or activity for repair and/or construction and</w:t>
      </w:r>
      <w:r w:rsidRPr="00B13B70">
        <w:rPr>
          <w:snapToGrid/>
          <w:sz w:val="22"/>
          <w:szCs w:val="22"/>
          <w:highlight w:val="yellow"/>
          <w:lang w:val="bg-BG"/>
        </w:rPr>
        <w:t>/</w:t>
      </w:r>
      <w:r w:rsidRPr="00B13B70">
        <w:rPr>
          <w:snapToGrid/>
          <w:sz w:val="22"/>
          <w:szCs w:val="22"/>
          <w:highlight w:val="yellow"/>
          <w:lang w:val="en-US"/>
        </w:rPr>
        <w:t>or</w:t>
      </w:r>
      <w:r w:rsidRPr="00B13B70">
        <w:rPr>
          <w:snapToGrid/>
          <w:sz w:val="22"/>
          <w:szCs w:val="22"/>
          <w:highlight w:val="yellow"/>
          <w:lang w:val="en-GB"/>
        </w:rPr>
        <w:t xml:space="preserve"> reconstruction and/or correction of</w:t>
      </w:r>
      <w:r w:rsidRPr="00B13B70">
        <w:rPr>
          <w:snapToGrid/>
          <w:sz w:val="22"/>
          <w:szCs w:val="22"/>
          <w:highlight w:val="yellow"/>
          <w:lang w:val="bg-BG"/>
        </w:rPr>
        <w:t xml:space="preserve"> </w:t>
      </w:r>
      <w:r w:rsidRPr="00B13B70">
        <w:rPr>
          <w:snapToGrid/>
          <w:sz w:val="22"/>
          <w:szCs w:val="22"/>
          <w:highlight w:val="yellow"/>
          <w:lang w:val="en-GB"/>
        </w:rPr>
        <w:t>riverbeds and</w:t>
      </w:r>
      <w:r w:rsidRPr="00B13B70">
        <w:rPr>
          <w:snapToGrid/>
          <w:sz w:val="22"/>
          <w:szCs w:val="22"/>
          <w:highlight w:val="yellow"/>
          <w:lang w:val="bg-BG"/>
        </w:rPr>
        <w:t>/о</w:t>
      </w:r>
      <w:r w:rsidRPr="00B13B70">
        <w:rPr>
          <w:snapToGrid/>
          <w:sz w:val="22"/>
          <w:szCs w:val="22"/>
          <w:highlight w:val="yellow"/>
          <w:lang w:val="en-US"/>
        </w:rPr>
        <w:t>r riverbanks and/or basins and/or other hydrological facilities</w:t>
      </w:r>
      <w:r w:rsidRPr="00B13B70">
        <w:rPr>
          <w:snapToGrid/>
          <w:sz w:val="22"/>
          <w:szCs w:val="22"/>
          <w:highlight w:val="yellow"/>
          <w:lang w:val="en-GB"/>
        </w:rPr>
        <w:t>.</w:t>
      </w:r>
      <w:r w:rsidRPr="00825C60">
        <w:rPr>
          <w:snapToGrid/>
          <w:sz w:val="22"/>
          <w:szCs w:val="22"/>
          <w:lang w:val="en-GB"/>
        </w:rPr>
        <w:t xml:space="preserve"> </w:t>
      </w:r>
    </w:p>
    <w:p w14:paraId="09FC59EA" w14:textId="68C85F0C" w:rsidR="00873182" w:rsidRDefault="00873182" w:rsidP="00873182">
      <w:pPr>
        <w:ind w:left="2160"/>
        <w:jc w:val="both"/>
        <w:rPr>
          <w:snapToGrid/>
          <w:sz w:val="22"/>
          <w:szCs w:val="22"/>
          <w:lang w:val="en-GB"/>
        </w:rPr>
      </w:pPr>
      <w:r w:rsidRPr="0021403C">
        <w:rPr>
          <w:snapToGrid/>
          <w:sz w:val="22"/>
          <w:szCs w:val="22"/>
          <w:lang w:val="en-GB"/>
        </w:rPr>
        <w:t xml:space="preserve">The documents with which compliance with the technical and professional capacity under point </w:t>
      </w:r>
      <w:r>
        <w:rPr>
          <w:snapToGrid/>
          <w:sz w:val="22"/>
          <w:szCs w:val="22"/>
          <w:lang w:val="en-GB"/>
        </w:rPr>
        <w:t>14.2.1</w:t>
      </w:r>
      <w:r w:rsidRPr="0021403C">
        <w:rPr>
          <w:snapToGrid/>
          <w:sz w:val="22"/>
          <w:szCs w:val="22"/>
          <w:lang w:val="en-GB"/>
        </w:rPr>
        <w:t xml:space="preserve">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 </w:t>
      </w:r>
    </w:p>
    <w:p w14:paraId="24EF8F5C" w14:textId="2B4248FF" w:rsidR="00873182" w:rsidRDefault="00873182" w:rsidP="00E369AF">
      <w:pPr>
        <w:numPr>
          <w:ilvl w:val="2"/>
          <w:numId w:val="7"/>
        </w:numPr>
        <w:jc w:val="both"/>
        <w:rPr>
          <w:snapToGrid/>
          <w:sz w:val="22"/>
          <w:szCs w:val="22"/>
          <w:lang w:val="en-GB"/>
        </w:rPr>
      </w:pPr>
      <w:r w:rsidRPr="00873182">
        <w:rPr>
          <w:b/>
          <w:bCs/>
          <w:snapToGrid/>
          <w:sz w:val="22"/>
          <w:szCs w:val="22"/>
          <w:lang w:val="en-GB"/>
        </w:rPr>
        <w:t>According to the Bulgarian Chamber of Builders Law entities executing construction in Bulgaria as per the Bulgarian Spatial Planning Law should be registered in the Central Register of Professional Builders.</w:t>
      </w:r>
      <w:r w:rsidRPr="0021403C">
        <w:rPr>
          <w:snapToGrid/>
          <w:sz w:val="22"/>
          <w:szCs w:val="22"/>
          <w:lang w:val="en-GB"/>
        </w:rPr>
        <w:t xml:space="preserve"> The registration is also obligatory for builders, which are entitled to perform such an activity under the legislation of a Member State of the Union or of another country - party to the Agreement on the European Economic Area or of the Swiss Confederation for registration. At the </w:t>
      </w:r>
      <w:r>
        <w:rPr>
          <w:snapToGrid/>
          <w:sz w:val="22"/>
          <w:szCs w:val="22"/>
          <w:lang w:val="en-GB"/>
        </w:rPr>
        <w:t>stage</w:t>
      </w:r>
      <w:r w:rsidRPr="0021403C">
        <w:rPr>
          <w:snapToGrid/>
          <w:sz w:val="22"/>
          <w:szCs w:val="22"/>
          <w:lang w:val="en-GB"/>
        </w:rPr>
        <w:t xml:space="preserve"> of </w:t>
      </w:r>
      <w:r>
        <w:rPr>
          <w:snapToGrid/>
          <w:sz w:val="22"/>
          <w:szCs w:val="22"/>
          <w:lang w:val="en-GB"/>
        </w:rPr>
        <w:t>tender submission,</w:t>
      </w:r>
      <w:r w:rsidRPr="0021403C">
        <w:rPr>
          <w:snapToGrid/>
          <w:sz w:val="22"/>
          <w:szCs w:val="22"/>
          <w:lang w:val="en-GB"/>
        </w:rPr>
        <w:t xml:space="preserve">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w:t>
      </w:r>
      <w:r w:rsidRPr="00873182">
        <w:rPr>
          <w:b/>
          <w:bCs/>
          <w:snapToGrid/>
          <w:sz w:val="22"/>
          <w:szCs w:val="22"/>
          <w:highlight w:val="yellow"/>
          <w:lang w:val="en-GB"/>
        </w:rPr>
        <w:t>The</w:t>
      </w:r>
      <w:r w:rsidRPr="00873182">
        <w:rPr>
          <w:b/>
          <w:bCs/>
          <w:snapToGrid/>
          <w:sz w:val="22"/>
          <w:szCs w:val="22"/>
          <w:highlight w:val="yellow"/>
          <w:lang w:val="bg-BG"/>
        </w:rPr>
        <w:t xml:space="preserve"> </w:t>
      </w:r>
      <w:r w:rsidRPr="00873182">
        <w:rPr>
          <w:b/>
          <w:bCs/>
          <w:snapToGrid/>
          <w:sz w:val="22"/>
          <w:szCs w:val="22"/>
          <w:highlight w:val="yellow"/>
          <w:lang w:val="en-US"/>
        </w:rPr>
        <w:t>construction</w:t>
      </w:r>
      <w:r w:rsidRPr="00873182">
        <w:rPr>
          <w:b/>
          <w:bCs/>
          <w:snapToGrid/>
          <w:sz w:val="22"/>
          <w:szCs w:val="22"/>
          <w:highlight w:val="yellow"/>
          <w:lang w:val="en-GB"/>
        </w:rPr>
        <w:t xml:space="preserve"> site is </w:t>
      </w:r>
      <w:proofErr w:type="spellStart"/>
      <w:r w:rsidRPr="00873182">
        <w:rPr>
          <w:b/>
          <w:bCs/>
          <w:snapToGrid/>
          <w:sz w:val="22"/>
          <w:szCs w:val="22"/>
          <w:highlight w:val="yellow"/>
          <w:lang w:val="en-GB"/>
        </w:rPr>
        <w:t>I</w:t>
      </w:r>
      <w:r w:rsidRPr="00873182">
        <w:rPr>
          <w:b/>
          <w:bCs/>
          <w:snapToGrid/>
          <w:sz w:val="22"/>
          <w:szCs w:val="22"/>
          <w:highlight w:val="yellow"/>
          <w:vertAlign w:val="superscript"/>
          <w:lang w:val="en-GB"/>
        </w:rPr>
        <w:t>st</w:t>
      </w:r>
      <w:proofErr w:type="spellEnd"/>
      <w:r w:rsidRPr="00873182">
        <w:rPr>
          <w:b/>
          <w:bCs/>
          <w:snapToGrid/>
          <w:sz w:val="22"/>
          <w:szCs w:val="22"/>
          <w:highlight w:val="yellow"/>
          <w:lang w:val="en-GB"/>
        </w:rPr>
        <w:t xml:space="preserve"> /first/ category as per art. 137, par. 1, point </w:t>
      </w:r>
      <w:r w:rsidRPr="00873182">
        <w:rPr>
          <w:b/>
          <w:bCs/>
          <w:snapToGrid/>
          <w:sz w:val="22"/>
          <w:szCs w:val="22"/>
          <w:highlight w:val="yellow"/>
          <w:lang w:val="en-US"/>
        </w:rPr>
        <w:t>1</w:t>
      </w:r>
      <w:r w:rsidRPr="00873182">
        <w:rPr>
          <w:b/>
          <w:bCs/>
          <w:snapToGrid/>
          <w:sz w:val="22"/>
          <w:szCs w:val="22"/>
          <w:highlight w:val="yellow"/>
          <w:lang w:val="en-GB"/>
        </w:rPr>
        <w:t>, letter «</w:t>
      </w:r>
      <w:r w:rsidR="002C2F7E">
        <w:rPr>
          <w:b/>
          <w:bCs/>
          <w:snapToGrid/>
          <w:sz w:val="22"/>
          <w:szCs w:val="22"/>
          <w:highlight w:val="yellow"/>
          <w:lang w:val="en-GB"/>
        </w:rPr>
        <w:t>g</w:t>
      </w:r>
      <w:r w:rsidRPr="00873182">
        <w:rPr>
          <w:b/>
          <w:bCs/>
          <w:snapToGrid/>
          <w:sz w:val="22"/>
          <w:szCs w:val="22"/>
          <w:highlight w:val="yellow"/>
          <w:lang w:val="en-GB"/>
        </w:rPr>
        <w:t>» of the Spatial Planning Law (SPL).</w:t>
      </w:r>
    </w:p>
    <w:p w14:paraId="72C91ABA" w14:textId="2E587C57" w:rsidR="00873182" w:rsidRDefault="00873182" w:rsidP="00E369AF">
      <w:pPr>
        <w:numPr>
          <w:ilvl w:val="2"/>
          <w:numId w:val="7"/>
        </w:numPr>
        <w:jc w:val="both"/>
        <w:rPr>
          <w:snapToGrid/>
          <w:sz w:val="22"/>
          <w:szCs w:val="22"/>
          <w:lang w:val="en-GB"/>
        </w:rPr>
      </w:pPr>
      <w:r w:rsidRPr="00873182">
        <w:rPr>
          <w:b/>
          <w:bCs/>
          <w:snapToGrid/>
          <w:sz w:val="22"/>
          <w:szCs w:val="22"/>
          <w:lang w:val="en-GB"/>
        </w:rPr>
        <w:t>According to art. 171 of the Bulgarian Spatial Planning Law entities executing construction in Bulgaria should be have a professional liability insurance under the ORDINANCE OF THE TERMS AND CONDITIONS OF COMPULSORY INSURANCE IN DESIGN AND CONSTRUCTION from 2004.</w:t>
      </w:r>
      <w:r w:rsidRPr="00873182">
        <w:rPr>
          <w:snapToGrid/>
          <w:sz w:val="22"/>
          <w:szCs w:val="22"/>
          <w:lang w:val="en-GB"/>
        </w:rPr>
        <w:t xml:space="preserve"> At the </w:t>
      </w:r>
      <w:r>
        <w:rPr>
          <w:snapToGrid/>
          <w:sz w:val="22"/>
          <w:szCs w:val="22"/>
          <w:lang w:val="en-GB"/>
        </w:rPr>
        <w:t>stage of tender submission</w:t>
      </w:r>
      <w:r w:rsidRPr="00873182">
        <w:rPr>
          <w:snapToGrid/>
          <w:sz w:val="22"/>
          <w:szCs w:val="22"/>
          <w:lang w:val="en-GB"/>
        </w:rPr>
        <w:t xml:space="preserve"> tenderers are not obliged to prove that they meet this requirement. However, the chosen contractor, before signing the contract must provide evidence of relevant professional risk indemnity </w:t>
      </w:r>
      <w:r w:rsidRPr="00873182">
        <w:rPr>
          <w:snapToGrid/>
          <w:sz w:val="22"/>
          <w:szCs w:val="22"/>
          <w:lang w:val="en-GB"/>
        </w:rPr>
        <w:lastRenderedPageBreak/>
        <w:t xml:space="preserve">insurance according to the provision of art. 5 of the stated ordinance or equivalent document according to the legislation of a Member State of the Union or of another country - party to the Agreement on the European Economic Area or of the Swiss Confederation, where the contractor is registered or has its operations. </w:t>
      </w:r>
      <w:r w:rsidRPr="00873182">
        <w:rPr>
          <w:b/>
          <w:bCs/>
          <w:snapToGrid/>
          <w:sz w:val="22"/>
          <w:szCs w:val="22"/>
          <w:highlight w:val="yellow"/>
          <w:lang w:val="en-GB"/>
        </w:rPr>
        <w:t xml:space="preserve">The construction site is </w:t>
      </w:r>
      <w:r w:rsidR="005A37D3">
        <w:rPr>
          <w:b/>
          <w:bCs/>
          <w:snapToGrid/>
          <w:sz w:val="22"/>
          <w:szCs w:val="22"/>
          <w:highlight w:val="yellow"/>
          <w:lang w:val="en-GB"/>
        </w:rPr>
        <w:t>1</w:t>
      </w:r>
      <w:r w:rsidRPr="00873182">
        <w:rPr>
          <w:b/>
          <w:bCs/>
          <w:snapToGrid/>
          <w:sz w:val="22"/>
          <w:szCs w:val="22"/>
          <w:highlight w:val="yellow"/>
          <w:lang w:val="en-GB"/>
        </w:rPr>
        <w:t>st /first/ category as per art. 137, par. 1, point 1, letter «</w:t>
      </w:r>
      <w:r w:rsidR="002C2F7E">
        <w:rPr>
          <w:b/>
          <w:bCs/>
          <w:snapToGrid/>
          <w:sz w:val="22"/>
          <w:szCs w:val="22"/>
          <w:highlight w:val="yellow"/>
          <w:lang w:val="en-GB"/>
        </w:rPr>
        <w:t>g</w:t>
      </w:r>
      <w:r w:rsidRPr="00873182">
        <w:rPr>
          <w:b/>
          <w:bCs/>
          <w:snapToGrid/>
          <w:sz w:val="22"/>
          <w:szCs w:val="22"/>
          <w:highlight w:val="yellow"/>
          <w:lang w:val="en-GB"/>
        </w:rPr>
        <w:t>» of the Spatial Planning Law (SPL).</w:t>
      </w:r>
    </w:p>
    <w:p w14:paraId="2BBE2BC6" w14:textId="77777777" w:rsidR="004A70AE" w:rsidRPr="000E27C4" w:rsidRDefault="004A70AE" w:rsidP="004A70AE">
      <w:pPr>
        <w:ind w:firstLine="720"/>
        <w:jc w:val="both"/>
        <w:rPr>
          <w:sz w:val="22"/>
          <w:u w:val="single"/>
          <w:lang w:val="en-GB"/>
        </w:rPr>
      </w:pPr>
      <w:r w:rsidRPr="000E27C4">
        <w:rPr>
          <w:sz w:val="22"/>
          <w:u w:val="single"/>
          <w:lang w:val="en-GB"/>
        </w:rPr>
        <w:t>Capacity-providing entities:</w:t>
      </w:r>
    </w:p>
    <w:p w14:paraId="39A2206C" w14:textId="77777777" w:rsidR="004A70AE" w:rsidRPr="00833DA6" w:rsidRDefault="004A70AE" w:rsidP="004A70AE">
      <w:pPr>
        <w:ind w:left="720"/>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1BC2B2BE" w14:textId="77777777" w:rsidR="004A70AE" w:rsidRPr="00833DA6" w:rsidRDefault="004A70AE" w:rsidP="004A70AE">
      <w:pPr>
        <w:ind w:left="720"/>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174FDEE5" w14:textId="77777777" w:rsidR="004A70AE" w:rsidRDefault="004A70AE" w:rsidP="004A70AE">
      <w:pPr>
        <w:ind w:left="720"/>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14:paraId="6E26AFAF" w14:textId="45874BD1" w:rsidR="004A70AE" w:rsidRDefault="004A70AE" w:rsidP="004A70AE">
      <w:pPr>
        <w:widowControl/>
        <w:snapToGrid w:val="0"/>
        <w:spacing w:after="0"/>
        <w:ind w:left="644"/>
        <w:jc w:val="both"/>
        <w:rPr>
          <w:sz w:val="22"/>
          <w:lang w:val="en-GB"/>
        </w:rPr>
      </w:pPr>
      <w:r w:rsidRPr="002A3784">
        <w:rPr>
          <w:sz w:val="22"/>
          <w:lang w:val="en-GB"/>
        </w:rPr>
        <w:t xml:space="preserve">Financial data to be provided by the tenderer in relation to the selection criteria must be expressed in </w:t>
      </w:r>
      <w:r w:rsidRPr="002A3784">
        <w:rPr>
          <w:sz w:val="22"/>
          <w:lang w:val="en-US"/>
        </w:rPr>
        <w:t>BGN</w:t>
      </w:r>
      <w:r w:rsidRPr="002A3784">
        <w:rPr>
          <w:sz w:val="22"/>
          <w:lang w:val="en-GB"/>
        </w:rPr>
        <w:t xml:space="preserve">. If applicable, where a candidate refers to amounts originally expressed in a different currency, the conversion to BGN shall be made in accordance with the </w:t>
      </w:r>
      <w:proofErr w:type="spellStart"/>
      <w:r w:rsidRPr="002A3784">
        <w:rPr>
          <w:sz w:val="22"/>
          <w:lang w:val="en-GB"/>
        </w:rPr>
        <w:t>InforEuro</w:t>
      </w:r>
      <w:proofErr w:type="spellEnd"/>
      <w:r w:rsidRPr="002A3784">
        <w:rPr>
          <w:sz w:val="22"/>
          <w:lang w:val="en-GB"/>
        </w:rPr>
        <w:t xml:space="preserve"> exchange rate of </w:t>
      </w:r>
      <w:r>
        <w:rPr>
          <w:b/>
          <w:sz w:val="22"/>
          <w:lang w:val="en-GB"/>
        </w:rPr>
        <w:t>November</w:t>
      </w:r>
      <w:r w:rsidRPr="002A3784">
        <w:rPr>
          <w:b/>
          <w:sz w:val="22"/>
          <w:lang w:val="en-GB"/>
        </w:rPr>
        <w:t xml:space="preserve"> 2020, </w:t>
      </w:r>
      <w:r w:rsidRPr="002A3784">
        <w:rPr>
          <w:sz w:val="22"/>
          <w:lang w:val="en-GB"/>
        </w:rPr>
        <w:t xml:space="preserve">which can be found at the following address: </w:t>
      </w:r>
      <w:hyperlink r:id="rId8" w:history="1">
        <w:r w:rsidRPr="002A3784">
          <w:rPr>
            <w:rStyle w:val="Hyperlink"/>
            <w:sz w:val="22"/>
            <w:lang w:val="en-GB"/>
          </w:rPr>
          <w:t>http://ec.europa.eu/budget/graphs/inforeuro.html</w:t>
        </w:r>
      </w:hyperlink>
      <w:r w:rsidRPr="002A3784">
        <w:rPr>
          <w:sz w:val="22"/>
          <w:lang w:val="en-GB"/>
        </w:rPr>
        <w:t>.</w:t>
      </w:r>
    </w:p>
    <w:p w14:paraId="72746D16" w14:textId="77777777" w:rsidR="005A37D3" w:rsidRPr="002A3784" w:rsidRDefault="005A37D3" w:rsidP="004A70AE">
      <w:pPr>
        <w:widowControl/>
        <w:snapToGrid w:val="0"/>
        <w:spacing w:after="0"/>
        <w:ind w:left="644"/>
        <w:jc w:val="both"/>
        <w:rPr>
          <w:sz w:val="22"/>
          <w:lang w:val="en-GB"/>
        </w:rPr>
      </w:pPr>
    </w:p>
    <w:p w14:paraId="32F47379"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66FEBA2D" w14:textId="77777777"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55394CA7" w14:textId="77777777" w:rsidR="002139C6" w:rsidRPr="00DD2F41" w:rsidRDefault="00C052BE" w:rsidP="0076200F">
      <w:pPr>
        <w:jc w:val="both"/>
        <w:rPr>
          <w:sz w:val="22"/>
          <w:szCs w:val="22"/>
          <w:lang w:val="en-GB"/>
        </w:rPr>
      </w:pPr>
      <w:r>
        <w:rPr>
          <w:snapToGrid/>
          <w:sz w:val="22"/>
          <w:szCs w:val="22"/>
          <w:lang w:val="en-GB"/>
        </w:rPr>
        <w:pict w14:anchorId="4217E709">
          <v:line id="_x0000_s1027" style="position:absolute;left:0;text-align:left;z-index:2" from="0,12pt" to="468pt,12.05pt" o:allowincell="f" strokecolor="#d4d4d4" strokeweight="1.75pt">
            <v:shadow on="t" origin=",32385f" offset="0,-1pt"/>
          </v:line>
        </w:pict>
      </w:r>
    </w:p>
    <w:p w14:paraId="123E899F"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04326245"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1BF0ABD0"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lastRenderedPageBreak/>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7AFC0D9F"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14:paraId="0AB6EBDD" w14:textId="77777777" w:rsidR="004A70AE" w:rsidRPr="004A70AE" w:rsidRDefault="004A70AE" w:rsidP="00E369AF">
      <w:pPr>
        <w:pStyle w:val="PRAGHeading2"/>
        <w:numPr>
          <w:ilvl w:val="0"/>
          <w:numId w:val="8"/>
        </w:numPr>
        <w:tabs>
          <w:tab w:val="clear" w:pos="284"/>
        </w:tabs>
        <w:ind w:left="709" w:hanging="425"/>
        <w:jc w:val="both"/>
        <w:rPr>
          <w:sz w:val="22"/>
          <w:szCs w:val="22"/>
          <w:lang w:val="en-GB" w:eastAsia="ja-JP"/>
        </w:rPr>
      </w:pPr>
      <w:r w:rsidRPr="004A70AE">
        <w:rPr>
          <w:sz w:val="22"/>
          <w:szCs w:val="22"/>
          <w:lang w:val="en-GB"/>
        </w:rPr>
        <w:t>Regulation</w:t>
      </w:r>
      <w:r w:rsidRPr="004A70AE">
        <w:rPr>
          <w:b/>
          <w:bCs/>
          <w:sz w:val="22"/>
          <w:szCs w:val="22"/>
          <w:lang w:val="en-GB"/>
        </w:rPr>
        <w:t xml:space="preserve"> </w:t>
      </w:r>
      <w:r w:rsidRPr="004A70AE">
        <w:rPr>
          <w:sz w:val="22"/>
          <w:szCs w:val="22"/>
          <w:lang w:val="en-GB"/>
        </w:rPr>
        <w:t>(EU) No </w:t>
      </w:r>
      <w:r w:rsidRPr="004A70AE">
        <w:rPr>
          <w:sz w:val="22"/>
          <w:szCs w:val="22"/>
          <w:lang w:val="en-GB" w:eastAsia="ja-JP"/>
        </w:rPr>
        <w:t xml:space="preserve">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14:paraId="26833A47" w14:textId="77777777" w:rsidR="004A70AE" w:rsidRPr="004A70AE" w:rsidRDefault="004A70AE" w:rsidP="00E369AF">
      <w:pPr>
        <w:pStyle w:val="PRAGHeading2"/>
        <w:numPr>
          <w:ilvl w:val="0"/>
          <w:numId w:val="8"/>
        </w:numPr>
        <w:tabs>
          <w:tab w:val="clear" w:pos="284"/>
        </w:tabs>
        <w:ind w:left="709" w:hanging="425"/>
        <w:jc w:val="both"/>
        <w:rPr>
          <w:sz w:val="22"/>
          <w:szCs w:val="22"/>
          <w:lang w:val="en-GB"/>
        </w:rPr>
      </w:pPr>
      <w:r w:rsidRPr="004A70AE">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 - IPA II Implementing Regulation;</w:t>
      </w:r>
    </w:p>
    <w:p w14:paraId="135F8A17" w14:textId="77777777" w:rsidR="004A70AE" w:rsidRPr="004A70AE" w:rsidRDefault="004A70AE" w:rsidP="00E369AF">
      <w:pPr>
        <w:pStyle w:val="PRAGHeading2"/>
        <w:numPr>
          <w:ilvl w:val="0"/>
          <w:numId w:val="8"/>
        </w:numPr>
        <w:tabs>
          <w:tab w:val="clear" w:pos="284"/>
        </w:tabs>
        <w:ind w:left="709" w:hanging="425"/>
        <w:jc w:val="both"/>
        <w:rPr>
          <w:sz w:val="22"/>
          <w:szCs w:val="22"/>
          <w:lang w:val="en-GB"/>
        </w:rPr>
      </w:pPr>
      <w:r w:rsidRPr="004A70AE">
        <w:rPr>
          <w:sz w:val="22"/>
          <w:szCs w:val="22"/>
          <w:lang w:val="en-GB"/>
        </w:rPr>
        <w:t>Regulation (EU) No 1299/2013 of the European Parliament and of the Council of 17 December 2013 on specific provisions for the support from the European Regional Development Fund to the European territorial cooperation goal;</w:t>
      </w:r>
    </w:p>
    <w:p w14:paraId="53415518" w14:textId="77777777" w:rsidR="004A70AE" w:rsidRPr="004A70AE" w:rsidRDefault="004A70AE" w:rsidP="00E369AF">
      <w:pPr>
        <w:pStyle w:val="PRAGHeading2"/>
        <w:numPr>
          <w:ilvl w:val="0"/>
          <w:numId w:val="8"/>
        </w:numPr>
        <w:tabs>
          <w:tab w:val="clear" w:pos="284"/>
        </w:tabs>
        <w:ind w:left="709" w:hanging="425"/>
        <w:jc w:val="both"/>
        <w:rPr>
          <w:sz w:val="22"/>
          <w:szCs w:val="22"/>
          <w:lang w:val="en-GB"/>
        </w:rPr>
      </w:pPr>
      <w:r w:rsidRPr="004A70AE">
        <w:rPr>
          <w:sz w:val="22"/>
          <w:szCs w:val="22"/>
          <w:lang w:val="en-GB"/>
        </w:rPr>
        <w:t>Commission Delegated Regulation (EU) No 481/2014 of 4 March 2014 supplementing Regulation (EU) No 1299/2013 of the European Parliament and of the Council with regard to specific rules on eligibility of expenditure for cooperation programmes;</w:t>
      </w:r>
    </w:p>
    <w:p w14:paraId="0C6A512A" w14:textId="77777777" w:rsidR="004A70AE" w:rsidRPr="004A70AE" w:rsidRDefault="004A70AE" w:rsidP="00E369AF">
      <w:pPr>
        <w:pStyle w:val="PRAGHeading2"/>
        <w:numPr>
          <w:ilvl w:val="0"/>
          <w:numId w:val="8"/>
        </w:numPr>
        <w:tabs>
          <w:tab w:val="clear" w:pos="284"/>
        </w:tabs>
        <w:ind w:left="709" w:hanging="425"/>
        <w:jc w:val="both"/>
        <w:rPr>
          <w:sz w:val="22"/>
          <w:szCs w:val="22"/>
          <w:lang w:val="en-GB" w:eastAsia="ja-JP"/>
        </w:rPr>
      </w:pPr>
      <w:r w:rsidRPr="004A70AE">
        <w:rPr>
          <w:sz w:val="22"/>
          <w:szCs w:val="22"/>
          <w:lang w:val="en-GB" w:eastAsia="ja-JP"/>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5B86AC2" w14:textId="77777777" w:rsidR="004A70AE" w:rsidRPr="004A70AE" w:rsidRDefault="004A70AE" w:rsidP="00E369AF">
      <w:pPr>
        <w:pStyle w:val="PRAGHeading2"/>
        <w:numPr>
          <w:ilvl w:val="0"/>
          <w:numId w:val="8"/>
        </w:numPr>
        <w:tabs>
          <w:tab w:val="clear" w:pos="284"/>
        </w:tabs>
        <w:ind w:left="709" w:hanging="425"/>
        <w:jc w:val="both"/>
        <w:rPr>
          <w:sz w:val="22"/>
          <w:szCs w:val="22"/>
          <w:lang w:val="en-GB"/>
        </w:rPr>
      </w:pPr>
      <w:r w:rsidRPr="004A70AE">
        <w:rPr>
          <w:sz w:val="22"/>
          <w:szCs w:val="22"/>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6EE47EA6" w14:textId="77777777" w:rsidR="004A70AE" w:rsidRPr="004A70AE" w:rsidRDefault="004A70AE" w:rsidP="00E369AF">
      <w:pPr>
        <w:pStyle w:val="PRAGHeading2"/>
        <w:numPr>
          <w:ilvl w:val="0"/>
          <w:numId w:val="8"/>
        </w:numPr>
        <w:tabs>
          <w:tab w:val="clear" w:pos="284"/>
        </w:tabs>
        <w:ind w:left="709" w:hanging="425"/>
        <w:jc w:val="both"/>
        <w:rPr>
          <w:sz w:val="22"/>
          <w:szCs w:val="22"/>
          <w:lang w:val="en-GB"/>
        </w:rPr>
      </w:pPr>
      <w:proofErr w:type="spellStart"/>
      <w:r w:rsidRPr="004A70AE">
        <w:rPr>
          <w:sz w:val="22"/>
          <w:szCs w:val="22"/>
        </w:rPr>
        <w:t>Regulation</w:t>
      </w:r>
      <w:proofErr w:type="spellEnd"/>
      <w:r w:rsidRPr="004A70AE">
        <w:rPr>
          <w:sz w:val="22"/>
          <w:szCs w:val="22"/>
        </w:rPr>
        <w:t xml:space="preserve"> (EU, Euratom) 2018/1046 of the European </w:t>
      </w:r>
      <w:proofErr w:type="spellStart"/>
      <w:r w:rsidRPr="004A70AE">
        <w:rPr>
          <w:sz w:val="22"/>
          <w:szCs w:val="22"/>
        </w:rPr>
        <w:t>Parliament</w:t>
      </w:r>
      <w:proofErr w:type="spellEnd"/>
      <w:r w:rsidRPr="004A70AE">
        <w:rPr>
          <w:sz w:val="22"/>
          <w:szCs w:val="22"/>
        </w:rPr>
        <w:t xml:space="preserve"> and of the Council of 18 July 2018 on the </w:t>
      </w:r>
      <w:proofErr w:type="spellStart"/>
      <w:r w:rsidRPr="004A70AE">
        <w:rPr>
          <w:sz w:val="22"/>
          <w:szCs w:val="22"/>
        </w:rPr>
        <w:t>financial</w:t>
      </w:r>
      <w:proofErr w:type="spellEnd"/>
      <w:r w:rsidRPr="004A70AE">
        <w:rPr>
          <w:sz w:val="22"/>
          <w:szCs w:val="22"/>
        </w:rPr>
        <w:t xml:space="preserve"> </w:t>
      </w:r>
      <w:proofErr w:type="spellStart"/>
      <w:r w:rsidRPr="004A70AE">
        <w:rPr>
          <w:sz w:val="22"/>
          <w:szCs w:val="22"/>
        </w:rPr>
        <w:t>rules</w:t>
      </w:r>
      <w:proofErr w:type="spellEnd"/>
      <w:r w:rsidRPr="004A70AE">
        <w:rPr>
          <w:sz w:val="22"/>
          <w:szCs w:val="22"/>
        </w:rPr>
        <w:t xml:space="preserve"> applicable to the </w:t>
      </w:r>
      <w:proofErr w:type="spellStart"/>
      <w:r w:rsidRPr="004A70AE">
        <w:rPr>
          <w:sz w:val="22"/>
          <w:szCs w:val="22"/>
        </w:rPr>
        <w:t>general</w:t>
      </w:r>
      <w:proofErr w:type="spellEnd"/>
      <w:r w:rsidRPr="004A70AE">
        <w:rPr>
          <w:sz w:val="22"/>
          <w:szCs w:val="22"/>
        </w:rPr>
        <w:t xml:space="preserve"> budget of the Union, </w:t>
      </w:r>
      <w:proofErr w:type="spellStart"/>
      <w:r w:rsidRPr="004A70AE">
        <w:rPr>
          <w:sz w:val="22"/>
          <w:szCs w:val="22"/>
        </w:rPr>
        <w:t>amending</w:t>
      </w:r>
      <w:proofErr w:type="spellEnd"/>
      <w:r w:rsidRPr="004A70AE">
        <w:rPr>
          <w:sz w:val="22"/>
          <w:szCs w:val="22"/>
        </w:rPr>
        <w:t xml:space="preserve"> </w:t>
      </w:r>
      <w:proofErr w:type="spellStart"/>
      <w:r w:rsidRPr="004A70AE">
        <w:rPr>
          <w:sz w:val="22"/>
          <w:szCs w:val="22"/>
        </w:rPr>
        <w:t>Regulations</w:t>
      </w:r>
      <w:proofErr w:type="spellEnd"/>
      <w:r w:rsidRPr="004A70AE">
        <w:rPr>
          <w:sz w:val="22"/>
          <w:szCs w:val="22"/>
        </w:rPr>
        <w:t xml:space="preserve"> (EU) No 1296/2013, (EU) No 1301/2013, (EU) No 1303/2013, (EU) No 1304/2013, (EU) No 1309/2013, (EU) No 1316/2013, (EU) No 223/2014, (EU) No 283/2014, and </w:t>
      </w:r>
      <w:proofErr w:type="spellStart"/>
      <w:r w:rsidRPr="004A70AE">
        <w:rPr>
          <w:sz w:val="22"/>
          <w:szCs w:val="22"/>
        </w:rPr>
        <w:t>Decision</w:t>
      </w:r>
      <w:proofErr w:type="spellEnd"/>
      <w:r w:rsidRPr="004A70AE">
        <w:rPr>
          <w:sz w:val="22"/>
          <w:szCs w:val="22"/>
        </w:rPr>
        <w:t xml:space="preserve"> No 541/2014/EU and </w:t>
      </w:r>
      <w:proofErr w:type="spellStart"/>
      <w:r w:rsidRPr="004A70AE">
        <w:rPr>
          <w:sz w:val="22"/>
          <w:szCs w:val="22"/>
        </w:rPr>
        <w:t>repealing</w:t>
      </w:r>
      <w:proofErr w:type="spellEnd"/>
      <w:r w:rsidRPr="004A70AE">
        <w:rPr>
          <w:sz w:val="22"/>
          <w:szCs w:val="22"/>
        </w:rPr>
        <w:t xml:space="preserve"> </w:t>
      </w:r>
      <w:proofErr w:type="spellStart"/>
      <w:r w:rsidRPr="004A70AE">
        <w:rPr>
          <w:sz w:val="22"/>
          <w:szCs w:val="22"/>
        </w:rPr>
        <w:t>Regulation</w:t>
      </w:r>
      <w:proofErr w:type="spellEnd"/>
      <w:r w:rsidRPr="004A70AE">
        <w:rPr>
          <w:sz w:val="22"/>
          <w:szCs w:val="22"/>
        </w:rPr>
        <w:t xml:space="preserve"> (EU, Euratom) No 966/2012</w:t>
      </w:r>
      <w:r w:rsidRPr="004A70AE">
        <w:rPr>
          <w:sz w:val="22"/>
          <w:szCs w:val="22"/>
          <w:lang w:val="en-GB"/>
        </w:rPr>
        <w:t>;</w:t>
      </w:r>
    </w:p>
    <w:p w14:paraId="4EDB8EE7" w14:textId="77777777" w:rsidR="004A70AE" w:rsidRPr="004A70AE" w:rsidRDefault="004A70AE" w:rsidP="00E369AF">
      <w:pPr>
        <w:pStyle w:val="PRAGHeading2"/>
        <w:numPr>
          <w:ilvl w:val="0"/>
          <w:numId w:val="8"/>
        </w:numPr>
        <w:tabs>
          <w:tab w:val="clear" w:pos="284"/>
        </w:tabs>
        <w:ind w:left="709" w:hanging="425"/>
        <w:jc w:val="both"/>
        <w:rPr>
          <w:sz w:val="22"/>
          <w:szCs w:val="22"/>
          <w:lang w:val="en-GB"/>
        </w:rPr>
      </w:pPr>
      <w:r w:rsidRPr="004A70AE">
        <w:rPr>
          <w:iCs/>
          <w:sz w:val="22"/>
          <w:szCs w:val="22"/>
          <w:lang w:val="bg-BG"/>
        </w:rPr>
        <w:lastRenderedPageBreak/>
        <w:t>Interreg-IPA CBC Programme Bulgaria-</w:t>
      </w:r>
      <w:r w:rsidRPr="004A70AE">
        <w:rPr>
          <w:iCs/>
          <w:sz w:val="22"/>
          <w:szCs w:val="22"/>
          <w:lang w:val="en-US"/>
        </w:rPr>
        <w:t>North</w:t>
      </w:r>
      <w:r w:rsidRPr="004A70AE">
        <w:rPr>
          <w:iCs/>
          <w:sz w:val="22"/>
          <w:szCs w:val="22"/>
          <w:lang w:val="bg-BG"/>
        </w:rPr>
        <w:t xml:space="preserve"> </w:t>
      </w:r>
      <w:proofErr w:type="spellStart"/>
      <w:r w:rsidRPr="004A70AE">
        <w:rPr>
          <w:iCs/>
          <w:sz w:val="22"/>
          <w:szCs w:val="22"/>
          <w:lang w:val="bg-BG"/>
        </w:rPr>
        <w:t>Macedonia</w:t>
      </w:r>
      <w:proofErr w:type="spellEnd"/>
      <w:r w:rsidRPr="004A70AE">
        <w:rPr>
          <w:iCs/>
          <w:sz w:val="22"/>
          <w:szCs w:val="22"/>
          <w:lang w:val="en-US"/>
        </w:rPr>
        <w:t xml:space="preserve"> Programme 2014-2020</w:t>
      </w:r>
      <w:r w:rsidRPr="004A70AE">
        <w:rPr>
          <w:sz w:val="22"/>
          <w:szCs w:val="22"/>
          <w:lang w:val="en-GB"/>
        </w:rPr>
        <w:t xml:space="preserve">, </w:t>
      </w:r>
      <w:r w:rsidRPr="004A70AE">
        <w:rPr>
          <w:sz w:val="22"/>
          <w:szCs w:val="22"/>
        </w:rPr>
        <w:t>CCI No  014TC16I5CB006</w:t>
      </w:r>
      <w:r w:rsidRPr="004A70AE">
        <w:rPr>
          <w:sz w:val="22"/>
          <w:szCs w:val="22"/>
          <w:lang w:val="en-GB"/>
        </w:rPr>
        <w:t xml:space="preserve">, approved by the European Commission with Decision № </w:t>
      </w:r>
      <w:r w:rsidRPr="004A70AE">
        <w:rPr>
          <w:sz w:val="22"/>
          <w:szCs w:val="22"/>
        </w:rPr>
        <w:t xml:space="preserve">C (2015) 5653 </w:t>
      </w:r>
      <w:r w:rsidRPr="004A70AE">
        <w:rPr>
          <w:sz w:val="22"/>
          <w:szCs w:val="22"/>
          <w:lang w:val="en-GB"/>
        </w:rPr>
        <w:t>of 5th August 2015.</w:t>
      </w:r>
    </w:p>
    <w:p w14:paraId="60C08B65" w14:textId="77777777" w:rsidR="003C3139" w:rsidRPr="00DD2F41" w:rsidRDefault="003C3139" w:rsidP="0076200F">
      <w:pPr>
        <w:pStyle w:val="PRAGHeading2"/>
        <w:jc w:val="both"/>
        <w:rPr>
          <w:rStyle w:val="Strong"/>
          <w:sz w:val="22"/>
          <w:szCs w:val="22"/>
          <w:lang w:val="en-GB"/>
        </w:rPr>
      </w:pPr>
      <w:r>
        <w:rPr>
          <w:rStyle w:val="Strong"/>
          <w:sz w:val="22"/>
          <w:szCs w:val="22"/>
          <w:lang w:val="en-GB"/>
        </w:rPr>
        <w:t>Appeals</w:t>
      </w:r>
    </w:p>
    <w:p w14:paraId="55B07935" w14:textId="77777777" w:rsidR="003C3139" w:rsidRDefault="003C3139" w:rsidP="0076200F">
      <w:pPr>
        <w:ind w:left="709"/>
        <w:jc w:val="both"/>
        <w:rPr>
          <w:snapToGrid/>
          <w:sz w:val="22"/>
          <w:szCs w:val="22"/>
          <w:lang w:val="en-GB" w:eastAsia="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608A200B"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2DFC2F1F"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284F48" w14:textId="77777777" w:rsidR="00C052BE" w:rsidRDefault="00C052BE">
      <w:r>
        <w:separator/>
      </w:r>
    </w:p>
  </w:endnote>
  <w:endnote w:type="continuationSeparator" w:id="0">
    <w:p w14:paraId="3C257B21" w14:textId="77777777" w:rsidR="00C052BE" w:rsidRDefault="00C05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8ACAC" w14:textId="77777777" w:rsidR="003062AF" w:rsidRDefault="003062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CBB39" w14:textId="77777777"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3C07AC">
      <w:rPr>
        <w:b/>
        <w:sz w:val="18"/>
      </w:rPr>
      <w:t>August 2020</w:t>
    </w:r>
    <w:r w:rsidR="00B640CA" w:rsidRPr="000F07CD">
      <w:rPr>
        <w:sz w:val="18"/>
        <w:szCs w:val="18"/>
        <w:lang w:val="en-GB"/>
      </w:rPr>
      <w:tab/>
      <w:t xml:space="preserve">Page </w:t>
    </w:r>
    <w:r w:rsidR="00656141" w:rsidRPr="009B4A52">
      <w:rPr>
        <w:rStyle w:val="PageNumber"/>
        <w:sz w:val="18"/>
        <w:szCs w:val="18"/>
      </w:rPr>
      <w:fldChar w:fldCharType="begin"/>
    </w:r>
    <w:r w:rsidR="00B640CA" w:rsidRPr="000F07CD">
      <w:rPr>
        <w:rStyle w:val="PageNumber"/>
        <w:sz w:val="18"/>
        <w:szCs w:val="18"/>
        <w:lang w:val="en-GB"/>
      </w:rPr>
      <w:instrText xml:space="preserve"> PAGE </w:instrText>
    </w:r>
    <w:r w:rsidR="00656141" w:rsidRPr="009B4A52">
      <w:rPr>
        <w:rStyle w:val="PageNumber"/>
        <w:sz w:val="18"/>
        <w:szCs w:val="18"/>
      </w:rPr>
      <w:fldChar w:fldCharType="separate"/>
    </w:r>
    <w:r w:rsidR="00C7613B">
      <w:rPr>
        <w:rStyle w:val="PageNumber"/>
        <w:noProof/>
        <w:sz w:val="18"/>
        <w:szCs w:val="18"/>
        <w:lang w:val="en-GB"/>
      </w:rPr>
      <w:t>7</w:t>
    </w:r>
    <w:r w:rsidR="00656141" w:rsidRPr="009B4A52">
      <w:rPr>
        <w:rStyle w:val="PageNumber"/>
        <w:sz w:val="18"/>
        <w:szCs w:val="18"/>
      </w:rPr>
      <w:fldChar w:fldCharType="end"/>
    </w:r>
    <w:r w:rsidR="00B640CA" w:rsidRPr="000F07CD">
      <w:rPr>
        <w:rStyle w:val="PageNumber"/>
        <w:sz w:val="18"/>
        <w:szCs w:val="18"/>
        <w:lang w:val="en-GB"/>
      </w:rPr>
      <w:t xml:space="preserve"> of </w:t>
    </w:r>
    <w:r w:rsidR="00656141" w:rsidRPr="009B4A52">
      <w:rPr>
        <w:rStyle w:val="PageNumber"/>
        <w:sz w:val="18"/>
        <w:szCs w:val="18"/>
      </w:rPr>
      <w:fldChar w:fldCharType="begin"/>
    </w:r>
    <w:r w:rsidR="00B640CA" w:rsidRPr="000F07CD">
      <w:rPr>
        <w:rStyle w:val="PageNumber"/>
        <w:sz w:val="18"/>
        <w:szCs w:val="18"/>
        <w:lang w:val="en-GB"/>
      </w:rPr>
      <w:instrText xml:space="preserve"> NUMPAGES </w:instrText>
    </w:r>
    <w:r w:rsidR="00656141" w:rsidRPr="009B4A52">
      <w:rPr>
        <w:rStyle w:val="PageNumber"/>
        <w:sz w:val="18"/>
        <w:szCs w:val="18"/>
      </w:rPr>
      <w:fldChar w:fldCharType="separate"/>
    </w:r>
    <w:r w:rsidR="00C7613B">
      <w:rPr>
        <w:rStyle w:val="PageNumber"/>
        <w:noProof/>
        <w:sz w:val="18"/>
        <w:szCs w:val="18"/>
        <w:lang w:val="en-GB"/>
      </w:rPr>
      <w:t>7</w:t>
    </w:r>
    <w:r w:rsidR="00656141" w:rsidRPr="009B4A52">
      <w:rPr>
        <w:rStyle w:val="PageNumber"/>
        <w:sz w:val="18"/>
        <w:szCs w:val="18"/>
      </w:rPr>
      <w:fldChar w:fldCharType="end"/>
    </w:r>
  </w:p>
  <w:p w14:paraId="18F7307B" w14:textId="77777777" w:rsidR="00B640CA" w:rsidRPr="000F07CD" w:rsidRDefault="00656141"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00B640CA"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219F2" w14:textId="77777777" w:rsidR="003062AF" w:rsidRDefault="003062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E6954" w14:textId="77777777" w:rsidR="00C052BE" w:rsidRDefault="00C052BE">
      <w:r>
        <w:separator/>
      </w:r>
    </w:p>
  </w:footnote>
  <w:footnote w:type="continuationSeparator" w:id="0">
    <w:p w14:paraId="53097262" w14:textId="77777777" w:rsidR="00C052BE" w:rsidRDefault="00C052BE">
      <w:r>
        <w:continuationSeparator/>
      </w:r>
    </w:p>
  </w:footnote>
  <w:footnote w:id="1">
    <w:p w14:paraId="71289E70" w14:textId="77777777"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A80DF" w14:textId="77777777" w:rsidR="003062AF" w:rsidRDefault="003062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6E81F" w14:textId="77777777" w:rsidR="008772BB" w:rsidRPr="008772BB" w:rsidRDefault="00C052BE" w:rsidP="008772BB">
    <w:pPr>
      <w:widowControl/>
      <w:tabs>
        <w:tab w:val="center" w:pos="4536"/>
        <w:tab w:val="right" w:pos="9072"/>
      </w:tabs>
      <w:spacing w:before="0" w:after="0"/>
      <w:rPr>
        <w:snapToGrid/>
        <w:szCs w:val="24"/>
        <w:lang w:val="bg-BG" w:eastAsia="bg-BG"/>
      </w:rPr>
    </w:pPr>
    <w:bookmarkStart w:id="1" w:name="_Hlk55507702"/>
    <w:bookmarkStart w:id="2" w:name="_Hlk55507703"/>
    <w:bookmarkStart w:id="3" w:name="_Hlk55507844"/>
    <w:bookmarkStart w:id="4" w:name="_Hlk55507845"/>
    <w:bookmarkStart w:id="5" w:name="_Hlk55508007"/>
    <w:bookmarkStart w:id="6" w:name="_Hlk55508008"/>
    <w:bookmarkStart w:id="7" w:name="_Hlk55546866"/>
    <w:bookmarkStart w:id="8" w:name="_Hlk55546867"/>
    <w:r>
      <w:rPr>
        <w:noProof/>
        <w:snapToGrid/>
        <w:szCs w:val="24"/>
        <w:lang w:val="bg-BG" w:eastAsia="bg-BG"/>
      </w:rPr>
      <w:pict w14:anchorId="2F2360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327.45pt;margin-top:-9.85pt;width:127.5pt;height:72.65pt;z-index:3">
          <v:imagedata r:id="rId1" o:title="Final"/>
        </v:shape>
      </w:pict>
    </w:r>
    <w:r>
      <w:rPr>
        <w:noProof/>
        <w:snapToGrid/>
        <w:szCs w:val="24"/>
        <w:lang w:val="bg-BG" w:eastAsia="bg-BG"/>
      </w:rPr>
      <w:pict w14:anchorId="7B3D4689">
        <v:shape id="Picture 1" o:spid="_x0000_s2055" type="#_x0000_t75" style="position:absolute;margin-left:116.35pt;margin-top:-6.15pt;width:203.8pt;height:61.55pt;z-index:1;visibility:visible">
          <v:imagedata r:id="rId2" o:title=""/>
          <w10:wrap type="square"/>
        </v:shape>
      </w:pict>
    </w:r>
    <w:r>
      <w:rPr>
        <w:noProof/>
        <w:snapToGrid/>
        <w:szCs w:val="24"/>
        <w:lang w:val="bg-BG" w:eastAsia="bg-BG"/>
      </w:rPr>
      <w:pict w14:anchorId="78C7F31F">
        <v:shape id="Picture 2" o:spid="_x0000_s2056" type="#_x0000_t75" style="position:absolute;margin-left:-2.25pt;margin-top:-9.85pt;width:96.75pt;height:65.25pt;z-index:2;visibility:visible">
          <v:imagedata r:id="rId3" o:title=""/>
          <w10:wrap type="square"/>
        </v:shape>
      </w:pict>
    </w:r>
  </w:p>
  <w:p w14:paraId="4EC3AA7A" w14:textId="77777777" w:rsidR="008772BB" w:rsidRPr="008772BB" w:rsidRDefault="008772BB" w:rsidP="008772BB">
    <w:pPr>
      <w:widowControl/>
      <w:tabs>
        <w:tab w:val="center" w:pos="4536"/>
        <w:tab w:val="right" w:pos="9072"/>
      </w:tabs>
      <w:spacing w:before="0" w:after="0"/>
      <w:rPr>
        <w:snapToGrid/>
        <w:szCs w:val="22"/>
        <w:lang w:val="en-US" w:eastAsia="bg-BG"/>
      </w:rPr>
    </w:pPr>
  </w:p>
  <w:p w14:paraId="436FF385" w14:textId="77777777" w:rsidR="008772BB" w:rsidRPr="008772BB" w:rsidRDefault="008772BB" w:rsidP="008772BB">
    <w:pPr>
      <w:widowControl/>
      <w:tabs>
        <w:tab w:val="center" w:pos="4536"/>
        <w:tab w:val="right" w:pos="9072"/>
      </w:tabs>
      <w:spacing w:before="0" w:after="0"/>
      <w:rPr>
        <w:snapToGrid/>
        <w:szCs w:val="22"/>
        <w:lang w:val="en-US" w:eastAsia="bg-BG"/>
      </w:rPr>
    </w:pPr>
  </w:p>
  <w:p w14:paraId="38DE100E" w14:textId="77777777" w:rsidR="008772BB" w:rsidRPr="008772BB" w:rsidRDefault="008772BB" w:rsidP="008772BB">
    <w:pPr>
      <w:widowControl/>
      <w:tabs>
        <w:tab w:val="center" w:pos="4536"/>
        <w:tab w:val="right" w:pos="9072"/>
      </w:tabs>
      <w:spacing w:before="0" w:after="0"/>
      <w:rPr>
        <w:snapToGrid/>
        <w:szCs w:val="22"/>
        <w:lang w:val="en-US" w:eastAsia="bg-BG"/>
      </w:rPr>
    </w:pPr>
  </w:p>
  <w:p w14:paraId="3A1AC1A7" w14:textId="77777777" w:rsidR="008772BB" w:rsidRPr="008772BB" w:rsidRDefault="008772BB" w:rsidP="008772BB">
    <w:pPr>
      <w:widowControl/>
      <w:tabs>
        <w:tab w:val="center" w:pos="4536"/>
        <w:tab w:val="right" w:pos="9072"/>
      </w:tabs>
      <w:spacing w:before="0" w:after="0"/>
      <w:rPr>
        <w:snapToGrid/>
        <w:sz w:val="22"/>
        <w:szCs w:val="22"/>
        <w:lang w:val="en-US" w:eastAsia="bg-BG"/>
      </w:rPr>
    </w:pPr>
    <w:r w:rsidRPr="008772BB">
      <w:rPr>
        <w:snapToGrid/>
        <w:sz w:val="22"/>
        <w:szCs w:val="22"/>
        <w:lang w:val="en-US" w:eastAsia="bg-BG"/>
      </w:rPr>
      <w:t xml:space="preserve">    European Union</w:t>
    </w:r>
  </w:p>
  <w:p w14:paraId="2F83F1F8" w14:textId="77777777" w:rsidR="008772BB" w:rsidRPr="008772BB" w:rsidRDefault="008772BB" w:rsidP="008772BB">
    <w:pPr>
      <w:widowControl/>
      <w:tabs>
        <w:tab w:val="center" w:pos="4536"/>
        <w:tab w:val="right" w:pos="9072"/>
      </w:tabs>
      <w:spacing w:before="0" w:after="0"/>
      <w:rPr>
        <w:snapToGrid/>
        <w:szCs w:val="22"/>
        <w:lang w:val="en-US" w:eastAsia="bg-BG"/>
      </w:rPr>
    </w:pPr>
  </w:p>
  <w:p w14:paraId="73E689D0" w14:textId="2A96E4F4" w:rsidR="008772BB" w:rsidRDefault="008772BB" w:rsidP="008772BB">
    <w:pPr>
      <w:widowControl/>
      <w:tabs>
        <w:tab w:val="center" w:pos="4536"/>
        <w:tab w:val="right" w:pos="9072"/>
      </w:tabs>
      <w:spacing w:before="0" w:after="0"/>
      <w:jc w:val="center"/>
      <w:rPr>
        <w:rFonts w:ascii="Calibri Light" w:hAnsi="Calibri Light" w:cs="Calibri Light"/>
        <w:b/>
        <w:bCs/>
        <w:snapToGrid/>
        <w:sz w:val="18"/>
        <w:szCs w:val="18"/>
        <w:lang w:val="en-US" w:eastAsia="bg-BG"/>
      </w:rPr>
    </w:pPr>
    <w:bookmarkStart w:id="9" w:name="_Hlk55546765"/>
    <w:r w:rsidRPr="008772BB">
      <w:rPr>
        <w:rFonts w:ascii="Calibri Light" w:hAnsi="Calibri Light" w:cs="Calibri Light"/>
        <w:b/>
        <w:bCs/>
        <w:snapToGrid/>
        <w:sz w:val="18"/>
        <w:szCs w:val="18"/>
        <w:lang w:val="en-US" w:eastAsia="bg-BG"/>
      </w:rPr>
      <w:t>Project “Joint actions for prevention and reduction of the consequences of disasters in the municipalities of Sandanski and Radovish” (</w:t>
    </w:r>
    <w:proofErr w:type="spellStart"/>
    <w:r w:rsidRPr="008772BB">
      <w:rPr>
        <w:rFonts w:ascii="Calibri Light" w:hAnsi="Calibri Light" w:cs="Calibri Light"/>
        <w:b/>
        <w:bCs/>
        <w:snapToGrid/>
        <w:sz w:val="18"/>
        <w:szCs w:val="18"/>
        <w:lang w:val="en-US" w:eastAsia="bg-BG"/>
      </w:rPr>
      <w:t>Ref.No</w:t>
    </w:r>
    <w:proofErr w:type="spellEnd"/>
    <w:r w:rsidRPr="008772BB">
      <w:rPr>
        <w:rFonts w:ascii="Calibri Light" w:hAnsi="Calibri Light" w:cs="Calibri Light"/>
        <w:b/>
        <w:bCs/>
        <w:snapToGrid/>
        <w:sz w:val="18"/>
        <w:szCs w:val="18"/>
        <w:lang w:val="en-US" w:eastAsia="bg-BG"/>
      </w:rPr>
      <w:t>.</w:t>
    </w:r>
    <w:r w:rsidRPr="008772BB">
      <w:rPr>
        <w:rFonts w:ascii="Calibri Light" w:hAnsi="Calibri Light" w:cs="Calibri Light"/>
        <w:b/>
        <w:bCs/>
        <w:snapToGrid/>
        <w:sz w:val="18"/>
        <w:szCs w:val="18"/>
        <w:lang w:val="bg-BG" w:eastAsia="bg-BG"/>
      </w:rPr>
      <w:t xml:space="preserve"> </w:t>
    </w:r>
    <w:r w:rsidRPr="008772BB">
      <w:rPr>
        <w:rFonts w:ascii="Calibri Light" w:hAnsi="Calibri Light" w:cs="Calibri Light"/>
        <w:b/>
        <w:bCs/>
        <w:snapToGrid/>
        <w:sz w:val="18"/>
        <w:szCs w:val="18"/>
        <w:lang w:val="en-US" w:eastAsia="bg-BG"/>
      </w:rPr>
      <w:t>CB006.2.12.0062)</w:t>
    </w:r>
    <w:bookmarkEnd w:id="1"/>
    <w:bookmarkEnd w:id="2"/>
    <w:bookmarkEnd w:id="3"/>
    <w:bookmarkEnd w:id="4"/>
    <w:bookmarkEnd w:id="5"/>
    <w:bookmarkEnd w:id="6"/>
  </w:p>
  <w:bookmarkEnd w:id="7"/>
  <w:bookmarkEnd w:id="8"/>
  <w:bookmarkEnd w:id="9"/>
  <w:p w14:paraId="79DA2899" w14:textId="77777777" w:rsidR="008772BB" w:rsidRPr="008772BB" w:rsidRDefault="008772BB" w:rsidP="008772BB">
    <w:pPr>
      <w:widowControl/>
      <w:tabs>
        <w:tab w:val="center" w:pos="4536"/>
        <w:tab w:val="right" w:pos="9072"/>
      </w:tabs>
      <w:spacing w:before="0" w:after="0"/>
      <w:jc w:val="center"/>
      <w:rPr>
        <w:rFonts w:ascii="Calibri Light" w:hAnsi="Calibri Light" w:cs="Calibri Light"/>
        <w:b/>
        <w:bCs/>
        <w:snapToGrid/>
        <w:sz w:val="18"/>
        <w:szCs w:val="18"/>
        <w:lang w:val="en-US" w:eastAsia="bg-BG"/>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80843" w14:textId="77777777" w:rsidR="003062AF" w:rsidRDefault="003062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AAC736E"/>
    <w:multiLevelType w:val="multilevel"/>
    <w:tmpl w:val="37E847CA"/>
    <w:lvl w:ilvl="0">
      <w:start w:val="14"/>
      <w:numFmt w:val="decimal"/>
      <w:lvlText w:val="%1"/>
      <w:lvlJc w:val="left"/>
      <w:pPr>
        <w:ind w:left="384" w:hanging="384"/>
      </w:pPr>
      <w:rPr>
        <w:rFonts w:hint="default"/>
      </w:rPr>
    </w:lvl>
    <w:lvl w:ilvl="1">
      <w:start w:val="2"/>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11D0A05"/>
    <w:multiLevelType w:val="hybridMultilevel"/>
    <w:tmpl w:val="13608626"/>
    <w:lvl w:ilvl="0" w:tplc="04020003">
      <w:start w:val="1"/>
      <w:numFmt w:val="bullet"/>
      <w:lvlText w:val="o"/>
      <w:lvlJc w:val="left"/>
      <w:pPr>
        <w:ind w:left="1800" w:hanging="360"/>
      </w:pPr>
      <w:rPr>
        <w:rFonts w:ascii="Courier New" w:hAnsi="Courier New" w:cs="Courier New"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 w15:restartNumberingAfterBreak="0">
    <w:nsid w:val="270E0988"/>
    <w:multiLevelType w:val="hybridMultilevel"/>
    <w:tmpl w:val="A658112C"/>
    <w:lvl w:ilvl="0" w:tplc="E0DACF0C">
      <w:start w:val="1"/>
      <w:numFmt w:val="bullet"/>
      <w:lvlText w:val=""/>
      <w:lvlJc w:val="left"/>
      <w:pPr>
        <w:tabs>
          <w:tab w:val="num" w:pos="284"/>
        </w:tabs>
        <w:ind w:left="284" w:firstLine="0"/>
      </w:pPr>
      <w:rPr>
        <w:rFonts w:ascii="Symbol" w:hAnsi="Symbol"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FBD3236"/>
    <w:multiLevelType w:val="hybridMultilevel"/>
    <w:tmpl w:val="9A2AE1E4"/>
    <w:lvl w:ilvl="0" w:tplc="0402000D">
      <w:start w:val="1"/>
      <w:numFmt w:val="bullet"/>
      <w:lvlText w:val=""/>
      <w:lvlJc w:val="left"/>
      <w:pPr>
        <w:ind w:left="1210" w:hanging="360"/>
      </w:pPr>
      <w:rPr>
        <w:rFonts w:ascii="Wingdings" w:hAnsi="Wingdings" w:hint="default"/>
      </w:rPr>
    </w:lvl>
    <w:lvl w:ilvl="1" w:tplc="04020003" w:tentative="1">
      <w:start w:val="1"/>
      <w:numFmt w:val="bullet"/>
      <w:lvlText w:val="o"/>
      <w:lvlJc w:val="left"/>
      <w:pPr>
        <w:ind w:left="1930" w:hanging="360"/>
      </w:pPr>
      <w:rPr>
        <w:rFonts w:ascii="Courier New" w:hAnsi="Courier New" w:cs="Courier New" w:hint="default"/>
      </w:rPr>
    </w:lvl>
    <w:lvl w:ilvl="2" w:tplc="04020005" w:tentative="1">
      <w:start w:val="1"/>
      <w:numFmt w:val="bullet"/>
      <w:lvlText w:val=""/>
      <w:lvlJc w:val="left"/>
      <w:pPr>
        <w:ind w:left="2650" w:hanging="360"/>
      </w:pPr>
      <w:rPr>
        <w:rFonts w:ascii="Wingdings" w:hAnsi="Wingdings" w:hint="default"/>
      </w:rPr>
    </w:lvl>
    <w:lvl w:ilvl="3" w:tplc="04020001" w:tentative="1">
      <w:start w:val="1"/>
      <w:numFmt w:val="bullet"/>
      <w:lvlText w:val=""/>
      <w:lvlJc w:val="left"/>
      <w:pPr>
        <w:ind w:left="3370" w:hanging="360"/>
      </w:pPr>
      <w:rPr>
        <w:rFonts w:ascii="Symbol" w:hAnsi="Symbol" w:hint="default"/>
      </w:rPr>
    </w:lvl>
    <w:lvl w:ilvl="4" w:tplc="04020003" w:tentative="1">
      <w:start w:val="1"/>
      <w:numFmt w:val="bullet"/>
      <w:lvlText w:val="o"/>
      <w:lvlJc w:val="left"/>
      <w:pPr>
        <w:ind w:left="4090" w:hanging="360"/>
      </w:pPr>
      <w:rPr>
        <w:rFonts w:ascii="Courier New" w:hAnsi="Courier New" w:cs="Courier New" w:hint="default"/>
      </w:rPr>
    </w:lvl>
    <w:lvl w:ilvl="5" w:tplc="04020005" w:tentative="1">
      <w:start w:val="1"/>
      <w:numFmt w:val="bullet"/>
      <w:lvlText w:val=""/>
      <w:lvlJc w:val="left"/>
      <w:pPr>
        <w:ind w:left="4810" w:hanging="360"/>
      </w:pPr>
      <w:rPr>
        <w:rFonts w:ascii="Wingdings" w:hAnsi="Wingdings" w:hint="default"/>
      </w:rPr>
    </w:lvl>
    <w:lvl w:ilvl="6" w:tplc="04020001" w:tentative="1">
      <w:start w:val="1"/>
      <w:numFmt w:val="bullet"/>
      <w:lvlText w:val=""/>
      <w:lvlJc w:val="left"/>
      <w:pPr>
        <w:ind w:left="5530" w:hanging="360"/>
      </w:pPr>
      <w:rPr>
        <w:rFonts w:ascii="Symbol" w:hAnsi="Symbol" w:hint="default"/>
      </w:rPr>
    </w:lvl>
    <w:lvl w:ilvl="7" w:tplc="04020003" w:tentative="1">
      <w:start w:val="1"/>
      <w:numFmt w:val="bullet"/>
      <w:lvlText w:val="o"/>
      <w:lvlJc w:val="left"/>
      <w:pPr>
        <w:ind w:left="6250" w:hanging="360"/>
      </w:pPr>
      <w:rPr>
        <w:rFonts w:ascii="Courier New" w:hAnsi="Courier New" w:cs="Courier New" w:hint="default"/>
      </w:rPr>
    </w:lvl>
    <w:lvl w:ilvl="8" w:tplc="04020005" w:tentative="1">
      <w:start w:val="1"/>
      <w:numFmt w:val="bullet"/>
      <w:lvlText w:val=""/>
      <w:lvlJc w:val="left"/>
      <w:pPr>
        <w:ind w:left="6970" w:hanging="360"/>
      </w:pPr>
      <w:rPr>
        <w:rFonts w:ascii="Wingdings" w:hAnsi="Wingdings" w:hint="default"/>
      </w:rPr>
    </w:lvl>
  </w:abstractNum>
  <w:abstractNum w:abstractNumId="5" w15:restartNumberingAfterBreak="0">
    <w:nsid w:val="45B2711E"/>
    <w:multiLevelType w:val="hybridMultilevel"/>
    <w:tmpl w:val="CED8C4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C911F5E"/>
    <w:multiLevelType w:val="hybridMultilevel"/>
    <w:tmpl w:val="5AEC8CFC"/>
    <w:lvl w:ilvl="0" w:tplc="DE66A290">
      <w:start w:val="4000"/>
      <w:numFmt w:val="bullet"/>
      <w:lvlText w:val="-"/>
      <w:lvlJc w:val="left"/>
      <w:pPr>
        <w:ind w:left="2138" w:hanging="360"/>
      </w:pPr>
      <w:rPr>
        <w:rFonts w:ascii="Arial" w:eastAsia="SimSun" w:hAnsi="Arial" w:cs="Arial"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7"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7"/>
  </w:num>
  <w:num w:numId="3">
    <w:abstractNumId w:val="4"/>
  </w:num>
  <w:num w:numId="4">
    <w:abstractNumId w:val="6"/>
  </w:num>
  <w:num w:numId="5">
    <w:abstractNumId w:val="5"/>
  </w:num>
  <w:num w:numId="6">
    <w:abstractNumId w:val="2"/>
  </w:num>
  <w:num w:numId="7">
    <w:abstractNumId w:val="1"/>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wMLQ0s7Q0NjY0NzZQ0lEKTi0uzszPAykwrwUANmYHVywAAAA="/>
    <w:docVar w:name="LW_DocType" w:val="NORMAL"/>
  </w:docVars>
  <w:rsids>
    <w:rsidRoot w:val="00C733BD"/>
    <w:rsid w:val="000132F4"/>
    <w:rsid w:val="000158F3"/>
    <w:rsid w:val="00015F72"/>
    <w:rsid w:val="0002576E"/>
    <w:rsid w:val="00040BD0"/>
    <w:rsid w:val="00046700"/>
    <w:rsid w:val="00047785"/>
    <w:rsid w:val="00061733"/>
    <w:rsid w:val="00065E5A"/>
    <w:rsid w:val="00072A47"/>
    <w:rsid w:val="000824D8"/>
    <w:rsid w:val="00090FAB"/>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08F4"/>
    <w:rsid w:val="001C552D"/>
    <w:rsid w:val="001D5D4B"/>
    <w:rsid w:val="001D6F33"/>
    <w:rsid w:val="001E290D"/>
    <w:rsid w:val="002019D9"/>
    <w:rsid w:val="00202C77"/>
    <w:rsid w:val="002139C6"/>
    <w:rsid w:val="00226910"/>
    <w:rsid w:val="00240E69"/>
    <w:rsid w:val="0025246F"/>
    <w:rsid w:val="0025570B"/>
    <w:rsid w:val="002622DE"/>
    <w:rsid w:val="002654E1"/>
    <w:rsid w:val="00272709"/>
    <w:rsid w:val="00276D41"/>
    <w:rsid w:val="00283DDC"/>
    <w:rsid w:val="0029420A"/>
    <w:rsid w:val="002A0F9A"/>
    <w:rsid w:val="002A7B14"/>
    <w:rsid w:val="002B0469"/>
    <w:rsid w:val="002B6113"/>
    <w:rsid w:val="002C2F7E"/>
    <w:rsid w:val="002D75F2"/>
    <w:rsid w:val="002D7868"/>
    <w:rsid w:val="002E09EF"/>
    <w:rsid w:val="002E5030"/>
    <w:rsid w:val="002E735D"/>
    <w:rsid w:val="002E7C2B"/>
    <w:rsid w:val="002F1040"/>
    <w:rsid w:val="002F54C8"/>
    <w:rsid w:val="003062AF"/>
    <w:rsid w:val="003100BB"/>
    <w:rsid w:val="003122A5"/>
    <w:rsid w:val="0031245B"/>
    <w:rsid w:val="00321225"/>
    <w:rsid w:val="00337F6E"/>
    <w:rsid w:val="00341E7E"/>
    <w:rsid w:val="003432DB"/>
    <w:rsid w:val="00344654"/>
    <w:rsid w:val="00345D09"/>
    <w:rsid w:val="00366082"/>
    <w:rsid w:val="003720EC"/>
    <w:rsid w:val="00383D66"/>
    <w:rsid w:val="00391F9F"/>
    <w:rsid w:val="003923FE"/>
    <w:rsid w:val="003A2491"/>
    <w:rsid w:val="003A51DF"/>
    <w:rsid w:val="003B2B49"/>
    <w:rsid w:val="003B7B6F"/>
    <w:rsid w:val="003C07AC"/>
    <w:rsid w:val="003C3139"/>
    <w:rsid w:val="003E27E0"/>
    <w:rsid w:val="003E5E93"/>
    <w:rsid w:val="003F5D28"/>
    <w:rsid w:val="0040130C"/>
    <w:rsid w:val="00405ED1"/>
    <w:rsid w:val="00424AD7"/>
    <w:rsid w:val="0043263D"/>
    <w:rsid w:val="00434120"/>
    <w:rsid w:val="004430E0"/>
    <w:rsid w:val="00446A24"/>
    <w:rsid w:val="00450828"/>
    <w:rsid w:val="0046267B"/>
    <w:rsid w:val="00465DFA"/>
    <w:rsid w:val="004664C5"/>
    <w:rsid w:val="0047639E"/>
    <w:rsid w:val="00480358"/>
    <w:rsid w:val="00484326"/>
    <w:rsid w:val="00491889"/>
    <w:rsid w:val="00492F3A"/>
    <w:rsid w:val="00494DE2"/>
    <w:rsid w:val="00496D9F"/>
    <w:rsid w:val="004A70AE"/>
    <w:rsid w:val="004B1831"/>
    <w:rsid w:val="004B20A1"/>
    <w:rsid w:val="004C0660"/>
    <w:rsid w:val="004C69BC"/>
    <w:rsid w:val="004D0E69"/>
    <w:rsid w:val="00507BB0"/>
    <w:rsid w:val="00510229"/>
    <w:rsid w:val="005206B5"/>
    <w:rsid w:val="00522AC4"/>
    <w:rsid w:val="0052331D"/>
    <w:rsid w:val="00523CA1"/>
    <w:rsid w:val="00566FE3"/>
    <w:rsid w:val="005711BD"/>
    <w:rsid w:val="00584DF6"/>
    <w:rsid w:val="005859B6"/>
    <w:rsid w:val="00586DE6"/>
    <w:rsid w:val="00597BFE"/>
    <w:rsid w:val="005A37D3"/>
    <w:rsid w:val="005A533C"/>
    <w:rsid w:val="005C3A9A"/>
    <w:rsid w:val="005D639E"/>
    <w:rsid w:val="005E63ED"/>
    <w:rsid w:val="005F7047"/>
    <w:rsid w:val="006027ED"/>
    <w:rsid w:val="00604ABA"/>
    <w:rsid w:val="00631F1A"/>
    <w:rsid w:val="00647BCC"/>
    <w:rsid w:val="00656141"/>
    <w:rsid w:val="0066017A"/>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86BBB"/>
    <w:rsid w:val="007A48E8"/>
    <w:rsid w:val="007C4AA9"/>
    <w:rsid w:val="007D6C98"/>
    <w:rsid w:val="007E0D76"/>
    <w:rsid w:val="007E17B2"/>
    <w:rsid w:val="007E50EC"/>
    <w:rsid w:val="008044AC"/>
    <w:rsid w:val="00805EFA"/>
    <w:rsid w:val="00813D9D"/>
    <w:rsid w:val="008141F8"/>
    <w:rsid w:val="008158D7"/>
    <w:rsid w:val="00825C60"/>
    <w:rsid w:val="00831879"/>
    <w:rsid w:val="00832BB3"/>
    <w:rsid w:val="00833DA6"/>
    <w:rsid w:val="00846CE9"/>
    <w:rsid w:val="00854B12"/>
    <w:rsid w:val="00861DBD"/>
    <w:rsid w:val="00864A70"/>
    <w:rsid w:val="00873182"/>
    <w:rsid w:val="008772BB"/>
    <w:rsid w:val="00883695"/>
    <w:rsid w:val="008A0A49"/>
    <w:rsid w:val="008A71B4"/>
    <w:rsid w:val="008B14BE"/>
    <w:rsid w:val="008B501D"/>
    <w:rsid w:val="008D1D32"/>
    <w:rsid w:val="008D2818"/>
    <w:rsid w:val="008D70D4"/>
    <w:rsid w:val="008E1A09"/>
    <w:rsid w:val="009006A8"/>
    <w:rsid w:val="0090169E"/>
    <w:rsid w:val="009067EA"/>
    <w:rsid w:val="00921394"/>
    <w:rsid w:val="00944E53"/>
    <w:rsid w:val="009733A4"/>
    <w:rsid w:val="00977661"/>
    <w:rsid w:val="00981386"/>
    <w:rsid w:val="009817C6"/>
    <w:rsid w:val="00982BAE"/>
    <w:rsid w:val="00985F8D"/>
    <w:rsid w:val="00997EDB"/>
    <w:rsid w:val="009A320E"/>
    <w:rsid w:val="009A7034"/>
    <w:rsid w:val="009B4A52"/>
    <w:rsid w:val="009B5FFC"/>
    <w:rsid w:val="009C282B"/>
    <w:rsid w:val="009C5905"/>
    <w:rsid w:val="009C631E"/>
    <w:rsid w:val="009C65D6"/>
    <w:rsid w:val="009D4DFB"/>
    <w:rsid w:val="009E540E"/>
    <w:rsid w:val="00A23F87"/>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3B70"/>
    <w:rsid w:val="00B159D6"/>
    <w:rsid w:val="00B22E22"/>
    <w:rsid w:val="00B24E1F"/>
    <w:rsid w:val="00B272AC"/>
    <w:rsid w:val="00B27EF0"/>
    <w:rsid w:val="00B3535B"/>
    <w:rsid w:val="00B402F9"/>
    <w:rsid w:val="00B47C02"/>
    <w:rsid w:val="00B52B1C"/>
    <w:rsid w:val="00B640CA"/>
    <w:rsid w:val="00B7405D"/>
    <w:rsid w:val="00B76C69"/>
    <w:rsid w:val="00B83745"/>
    <w:rsid w:val="00B853C8"/>
    <w:rsid w:val="00B85525"/>
    <w:rsid w:val="00B86369"/>
    <w:rsid w:val="00B912C2"/>
    <w:rsid w:val="00B95EFC"/>
    <w:rsid w:val="00BA0AC6"/>
    <w:rsid w:val="00BB40A9"/>
    <w:rsid w:val="00BC23AA"/>
    <w:rsid w:val="00BC6046"/>
    <w:rsid w:val="00BD11C0"/>
    <w:rsid w:val="00BD3B9D"/>
    <w:rsid w:val="00BD63A4"/>
    <w:rsid w:val="00BD67C9"/>
    <w:rsid w:val="00BE3363"/>
    <w:rsid w:val="00BE5D16"/>
    <w:rsid w:val="00BE73F2"/>
    <w:rsid w:val="00BF294E"/>
    <w:rsid w:val="00C038FD"/>
    <w:rsid w:val="00C052BE"/>
    <w:rsid w:val="00C37BDC"/>
    <w:rsid w:val="00C37CFF"/>
    <w:rsid w:val="00C41524"/>
    <w:rsid w:val="00C43C3C"/>
    <w:rsid w:val="00C701B4"/>
    <w:rsid w:val="00C733BD"/>
    <w:rsid w:val="00C74850"/>
    <w:rsid w:val="00C7613B"/>
    <w:rsid w:val="00C8042E"/>
    <w:rsid w:val="00CA2F80"/>
    <w:rsid w:val="00CA5398"/>
    <w:rsid w:val="00CA5B6F"/>
    <w:rsid w:val="00CC44B2"/>
    <w:rsid w:val="00CC45C3"/>
    <w:rsid w:val="00CD07AD"/>
    <w:rsid w:val="00CD67FF"/>
    <w:rsid w:val="00CE207E"/>
    <w:rsid w:val="00CE3C40"/>
    <w:rsid w:val="00CF42ED"/>
    <w:rsid w:val="00D101C4"/>
    <w:rsid w:val="00D131A9"/>
    <w:rsid w:val="00D1442E"/>
    <w:rsid w:val="00D23217"/>
    <w:rsid w:val="00D275AD"/>
    <w:rsid w:val="00D330FD"/>
    <w:rsid w:val="00D456AF"/>
    <w:rsid w:val="00D5741C"/>
    <w:rsid w:val="00D60434"/>
    <w:rsid w:val="00D62A71"/>
    <w:rsid w:val="00D62DE2"/>
    <w:rsid w:val="00D80DCC"/>
    <w:rsid w:val="00D84614"/>
    <w:rsid w:val="00D87613"/>
    <w:rsid w:val="00D949DA"/>
    <w:rsid w:val="00D974A3"/>
    <w:rsid w:val="00DA5731"/>
    <w:rsid w:val="00DC0CF2"/>
    <w:rsid w:val="00DC0EC0"/>
    <w:rsid w:val="00DC7917"/>
    <w:rsid w:val="00DD2F41"/>
    <w:rsid w:val="00DD54A4"/>
    <w:rsid w:val="00DD6316"/>
    <w:rsid w:val="00DF2EC2"/>
    <w:rsid w:val="00E103E4"/>
    <w:rsid w:val="00E1672F"/>
    <w:rsid w:val="00E17B77"/>
    <w:rsid w:val="00E2178D"/>
    <w:rsid w:val="00E267BD"/>
    <w:rsid w:val="00E344DB"/>
    <w:rsid w:val="00E369AF"/>
    <w:rsid w:val="00E46E18"/>
    <w:rsid w:val="00E5035D"/>
    <w:rsid w:val="00E53CBF"/>
    <w:rsid w:val="00E56703"/>
    <w:rsid w:val="00E62310"/>
    <w:rsid w:val="00E6606E"/>
    <w:rsid w:val="00E74001"/>
    <w:rsid w:val="00E823E9"/>
    <w:rsid w:val="00E83722"/>
    <w:rsid w:val="00E87351"/>
    <w:rsid w:val="00E97982"/>
    <w:rsid w:val="00EA398D"/>
    <w:rsid w:val="00EA5FAF"/>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07663497"/>
  <w15:docId w15:val="{CF5C046A-B9E0-4BF4-9A66-E8BB3C869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2"/>
      </w:numPr>
      <w:spacing w:before="480" w:after="240"/>
      <w:outlineLvl w:val="0"/>
    </w:pPr>
    <w:rPr>
      <w:b/>
      <w:bCs/>
      <w:caps/>
      <w:sz w:val="30"/>
      <w:szCs w:val="22"/>
    </w:rPr>
  </w:style>
  <w:style w:type="paragraph" w:styleId="Heading2">
    <w:name w:val="heading 2"/>
    <w:basedOn w:val="Normal"/>
    <w:next w:val="Normal"/>
    <w:link w:val="Heading2Char"/>
    <w:autoRedefine/>
    <w:qFormat/>
    <w:rsid w:val="002B0469"/>
    <w:pPr>
      <w:widowControl/>
      <w:numPr>
        <w:ilvl w:val="1"/>
        <w:numId w:val="2"/>
      </w:numPr>
      <w:spacing w:before="240" w:after="120"/>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2B0469"/>
    <w:pPr>
      <w:widowControl/>
      <w:numPr>
        <w:ilvl w:val="2"/>
        <w:numId w:val="2"/>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2B0469"/>
    <w:pPr>
      <w:widowControl/>
      <w:numPr>
        <w:ilvl w:val="3"/>
        <w:numId w:val="2"/>
      </w:numPr>
      <w:spacing w:before="120" w:after="120"/>
      <w:jc w:val="both"/>
      <w:outlineLvl w:val="3"/>
    </w:pPr>
    <w:rPr>
      <w:sz w:val="22"/>
      <w:szCs w:val="22"/>
    </w:rPr>
  </w:style>
  <w:style w:type="paragraph" w:styleId="Heading5">
    <w:name w:val="heading 5"/>
    <w:basedOn w:val="Normal"/>
    <w:next w:val="Normal"/>
    <w:link w:val="Heading5Char"/>
    <w:qFormat/>
    <w:rsid w:val="002B0469"/>
    <w:pPr>
      <w:widowControl/>
      <w:numPr>
        <w:ilvl w:val="4"/>
        <w:numId w:val="2"/>
      </w:numPr>
      <w:spacing w:before="240" w:after="120"/>
      <w:jc w:val="both"/>
      <w:outlineLvl w:val="4"/>
    </w:pPr>
    <w:rPr>
      <w:sz w:val="22"/>
      <w:szCs w:val="22"/>
    </w:rPr>
  </w:style>
  <w:style w:type="paragraph" w:styleId="Heading6">
    <w:name w:val="heading 6"/>
    <w:basedOn w:val="Normal"/>
    <w:next w:val="Normal"/>
    <w:link w:val="Heading6Char"/>
    <w:qFormat/>
    <w:rsid w:val="002B0469"/>
    <w:pPr>
      <w:widowControl/>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2B0469"/>
    <w:pPr>
      <w:keepNext/>
      <w:widowControl/>
      <w:numPr>
        <w:ilvl w:val="6"/>
        <w:numId w:val="2"/>
      </w:numPr>
      <w:spacing w:before="0" w:after="120"/>
      <w:jc w:val="center"/>
      <w:outlineLvl w:val="6"/>
    </w:pPr>
    <w:rPr>
      <w:rFonts w:ascii="Arial" w:hAnsi="Arial"/>
      <w:b/>
      <w:color w:val="008000"/>
      <w:sz w:val="32"/>
    </w:rPr>
  </w:style>
  <w:style w:type="paragraph" w:styleId="Heading8">
    <w:name w:val="heading 8"/>
    <w:basedOn w:val="Normal"/>
    <w:next w:val="Normal"/>
    <w:link w:val="Heading8Char"/>
    <w:qFormat/>
    <w:rsid w:val="002B0469"/>
    <w:pPr>
      <w:keepNext/>
      <w:widowControl/>
      <w:numPr>
        <w:ilvl w:val="7"/>
        <w:numId w:val="2"/>
      </w:numPr>
      <w:spacing w:before="0" w:after="120"/>
      <w:jc w:val="both"/>
      <w:outlineLvl w:val="7"/>
    </w:pPr>
    <w:rPr>
      <w:rFonts w:ascii="Arial" w:hAnsi="Arial"/>
      <w:b/>
      <w:sz w:val="22"/>
    </w:rPr>
  </w:style>
  <w:style w:type="paragraph" w:styleId="Heading9">
    <w:name w:val="heading 9"/>
    <w:basedOn w:val="Normal"/>
    <w:next w:val="Normal"/>
    <w:link w:val="Heading9Char"/>
    <w:qFormat/>
    <w:rsid w:val="002B0469"/>
    <w:pPr>
      <w:widowControl/>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BB40A9"/>
    <w:pPr>
      <w:spacing w:before="0" w:after="0"/>
    </w:pPr>
  </w:style>
  <w:style w:type="paragraph" w:customStyle="1" w:styleId="DefinitionList">
    <w:name w:val="Definition List"/>
    <w:basedOn w:val="Normal"/>
    <w:next w:val="DefinitionTerm"/>
    <w:rsid w:val="00BB40A9"/>
    <w:pPr>
      <w:spacing w:before="0" w:after="0"/>
      <w:ind w:left="360"/>
    </w:pPr>
  </w:style>
  <w:style w:type="character" w:customStyle="1" w:styleId="Definition">
    <w:name w:val="Definition"/>
    <w:rsid w:val="00BB40A9"/>
    <w:rPr>
      <w:i/>
    </w:rPr>
  </w:style>
  <w:style w:type="paragraph" w:customStyle="1" w:styleId="H1">
    <w:name w:val="H1"/>
    <w:basedOn w:val="Normal"/>
    <w:next w:val="Normal"/>
    <w:rsid w:val="00BB40A9"/>
    <w:pPr>
      <w:keepNext/>
      <w:outlineLvl w:val="1"/>
    </w:pPr>
    <w:rPr>
      <w:b/>
      <w:kern w:val="36"/>
      <w:sz w:val="48"/>
    </w:rPr>
  </w:style>
  <w:style w:type="paragraph" w:customStyle="1" w:styleId="H2">
    <w:name w:val="H2"/>
    <w:basedOn w:val="Normal"/>
    <w:next w:val="Normal"/>
    <w:rsid w:val="00BB40A9"/>
    <w:pPr>
      <w:keepNext/>
      <w:outlineLvl w:val="2"/>
    </w:pPr>
    <w:rPr>
      <w:b/>
      <w:sz w:val="36"/>
    </w:rPr>
  </w:style>
  <w:style w:type="paragraph" w:customStyle="1" w:styleId="H3">
    <w:name w:val="H3"/>
    <w:basedOn w:val="Normal"/>
    <w:next w:val="Normal"/>
    <w:rsid w:val="00BB40A9"/>
    <w:pPr>
      <w:keepNext/>
      <w:outlineLvl w:val="3"/>
    </w:pPr>
    <w:rPr>
      <w:b/>
      <w:sz w:val="28"/>
    </w:rPr>
  </w:style>
  <w:style w:type="paragraph" w:customStyle="1" w:styleId="H4">
    <w:name w:val="H4"/>
    <w:basedOn w:val="Normal"/>
    <w:next w:val="Normal"/>
    <w:rsid w:val="00BB40A9"/>
    <w:pPr>
      <w:keepNext/>
      <w:outlineLvl w:val="4"/>
    </w:pPr>
    <w:rPr>
      <w:b/>
    </w:rPr>
  </w:style>
  <w:style w:type="paragraph" w:customStyle="1" w:styleId="H5">
    <w:name w:val="H5"/>
    <w:basedOn w:val="Normal"/>
    <w:next w:val="Normal"/>
    <w:rsid w:val="00BB40A9"/>
    <w:pPr>
      <w:keepNext/>
      <w:outlineLvl w:val="5"/>
    </w:pPr>
    <w:rPr>
      <w:b/>
      <w:sz w:val="20"/>
    </w:rPr>
  </w:style>
  <w:style w:type="paragraph" w:customStyle="1" w:styleId="H6">
    <w:name w:val="H6"/>
    <w:basedOn w:val="Normal"/>
    <w:next w:val="Normal"/>
    <w:rsid w:val="00BB40A9"/>
    <w:pPr>
      <w:keepNext/>
      <w:outlineLvl w:val="6"/>
    </w:pPr>
    <w:rPr>
      <w:b/>
      <w:sz w:val="16"/>
    </w:rPr>
  </w:style>
  <w:style w:type="paragraph" w:customStyle="1" w:styleId="Address">
    <w:name w:val="Address"/>
    <w:basedOn w:val="Normal"/>
    <w:next w:val="Normal"/>
    <w:rsid w:val="00BB40A9"/>
    <w:pPr>
      <w:spacing w:before="0" w:after="0"/>
    </w:pPr>
    <w:rPr>
      <w:i/>
    </w:rPr>
  </w:style>
  <w:style w:type="paragraph" w:customStyle="1" w:styleId="Blockquote">
    <w:name w:val="Blockquote"/>
    <w:basedOn w:val="Normal"/>
    <w:rsid w:val="00BB40A9"/>
    <w:pPr>
      <w:ind w:left="360" w:right="360"/>
    </w:pPr>
  </w:style>
  <w:style w:type="character" w:customStyle="1" w:styleId="CITE">
    <w:name w:val="CITE"/>
    <w:rsid w:val="00BB40A9"/>
    <w:rPr>
      <w:i/>
    </w:rPr>
  </w:style>
  <w:style w:type="character" w:customStyle="1" w:styleId="CODE">
    <w:name w:val="CODE"/>
    <w:rsid w:val="00BB40A9"/>
    <w:rPr>
      <w:rFonts w:ascii="Courier New" w:hAnsi="Courier New"/>
      <w:sz w:val="20"/>
    </w:rPr>
  </w:style>
  <w:style w:type="character" w:styleId="Emphasis">
    <w:name w:val="Emphasis"/>
    <w:qFormat/>
    <w:rsid w:val="00BB40A9"/>
    <w:rPr>
      <w:i/>
    </w:rPr>
  </w:style>
  <w:style w:type="character" w:styleId="Hyperlink">
    <w:name w:val="Hyperlink"/>
    <w:rsid w:val="00BB40A9"/>
    <w:rPr>
      <w:color w:val="0000FF"/>
      <w:u w:val="single"/>
    </w:rPr>
  </w:style>
  <w:style w:type="character" w:styleId="FollowedHyperlink">
    <w:name w:val="FollowedHyperlink"/>
    <w:rsid w:val="00BB40A9"/>
    <w:rPr>
      <w:color w:val="800080"/>
      <w:u w:val="single"/>
    </w:rPr>
  </w:style>
  <w:style w:type="character" w:customStyle="1" w:styleId="Keyboard">
    <w:name w:val="Keyboard"/>
    <w:rsid w:val="00BB40A9"/>
    <w:rPr>
      <w:rFonts w:ascii="Courier New" w:hAnsi="Courier New"/>
      <w:b/>
      <w:sz w:val="20"/>
    </w:rPr>
  </w:style>
  <w:style w:type="paragraph" w:customStyle="1" w:styleId="Preformatted">
    <w:name w:val="Preformatted"/>
    <w:basedOn w:val="Normal"/>
    <w:rsid w:val="00BB40A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BB40A9"/>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BB40A9"/>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BB40A9"/>
    <w:rPr>
      <w:rFonts w:ascii="Courier New" w:hAnsi="Courier New"/>
    </w:rPr>
  </w:style>
  <w:style w:type="character" w:styleId="Strong">
    <w:name w:val="Strong"/>
    <w:qFormat/>
    <w:rsid w:val="00BB40A9"/>
    <w:rPr>
      <w:b/>
    </w:rPr>
  </w:style>
  <w:style w:type="character" w:customStyle="1" w:styleId="Typewriter">
    <w:name w:val="Typewriter"/>
    <w:rsid w:val="00BB40A9"/>
    <w:rPr>
      <w:rFonts w:ascii="Courier New" w:hAnsi="Courier New"/>
      <w:sz w:val="20"/>
    </w:rPr>
  </w:style>
  <w:style w:type="character" w:customStyle="1" w:styleId="Variable">
    <w:name w:val="Variable"/>
    <w:rsid w:val="00BB40A9"/>
    <w:rPr>
      <w:i/>
    </w:rPr>
  </w:style>
  <w:style w:type="character" w:customStyle="1" w:styleId="HTMLMarkup">
    <w:name w:val="HTML Markup"/>
    <w:rsid w:val="00BB40A9"/>
    <w:rPr>
      <w:vanish/>
      <w:color w:val="FF0000"/>
    </w:rPr>
  </w:style>
  <w:style w:type="character" w:customStyle="1" w:styleId="Comment">
    <w:name w:val="Comment"/>
    <w:rsid w:val="00BB40A9"/>
    <w:rPr>
      <w:vanish/>
    </w:rPr>
  </w:style>
  <w:style w:type="paragraph" w:styleId="DocumentMap">
    <w:name w:val="Document Map"/>
    <w:basedOn w:val="Normal"/>
    <w:semiHidden/>
    <w:rsid w:val="00BB40A9"/>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val="fr-FR" w:eastAsia="en-US"/>
    </w:rPr>
  </w:style>
  <w:style w:type="character" w:customStyle="1" w:styleId="Heading2Char">
    <w:name w:val="Heading 2 Char"/>
    <w:link w:val="Heading2"/>
    <w:rsid w:val="002B0469"/>
    <w:rPr>
      <w:rFonts w:ascii="Times New Roman Bold" w:hAnsi="Times New Roman Bold"/>
      <w:b/>
      <w:snapToGrid w:val="0"/>
      <w:sz w:val="22"/>
      <w:szCs w:val="22"/>
      <w:lang w:val="fr-FR" w:eastAsia="en-US"/>
    </w:rPr>
  </w:style>
  <w:style w:type="character" w:customStyle="1" w:styleId="Heading3Char">
    <w:name w:val="Heading 3 Char"/>
    <w:link w:val="Heading3"/>
    <w:rsid w:val="002B0469"/>
    <w:rPr>
      <w:sz w:val="22"/>
      <w:szCs w:val="22"/>
      <w:lang w:val="fr-FR" w:eastAsia="en-US"/>
    </w:rPr>
  </w:style>
  <w:style w:type="character" w:customStyle="1" w:styleId="Heading4Char">
    <w:name w:val="Heading 4 Char"/>
    <w:link w:val="Heading4"/>
    <w:rsid w:val="002B0469"/>
    <w:rPr>
      <w:snapToGrid w:val="0"/>
      <w:sz w:val="22"/>
      <w:szCs w:val="22"/>
      <w:lang w:val="fr-FR" w:eastAsia="en-US"/>
    </w:rPr>
  </w:style>
  <w:style w:type="character" w:customStyle="1" w:styleId="Heading5Char">
    <w:name w:val="Heading 5 Char"/>
    <w:link w:val="Heading5"/>
    <w:rsid w:val="002B0469"/>
    <w:rPr>
      <w:snapToGrid w:val="0"/>
      <w:sz w:val="22"/>
      <w:szCs w:val="22"/>
      <w:lang w:val="fr-FR" w:eastAsia="en-US"/>
    </w:rPr>
  </w:style>
  <w:style w:type="character" w:customStyle="1" w:styleId="Heading6Char">
    <w:name w:val="Heading 6 Char"/>
    <w:link w:val="Heading6"/>
    <w:rsid w:val="002B0469"/>
    <w:rPr>
      <w:rFonts w:ascii="Calibri" w:hAnsi="Calibri"/>
      <w:b/>
      <w:bCs/>
      <w:snapToGrid w:val="0"/>
      <w:sz w:val="22"/>
      <w:szCs w:val="22"/>
      <w:lang w:val="fr-FR" w:eastAsia="en-US"/>
    </w:rPr>
  </w:style>
  <w:style w:type="character" w:customStyle="1" w:styleId="Heading7Char">
    <w:name w:val="Heading 7 Char"/>
    <w:link w:val="Heading7"/>
    <w:rsid w:val="002B0469"/>
    <w:rPr>
      <w:rFonts w:ascii="Arial" w:hAnsi="Arial"/>
      <w:b/>
      <w:snapToGrid w:val="0"/>
      <w:color w:val="008000"/>
      <w:sz w:val="32"/>
      <w:lang w:val="fr-FR" w:eastAsia="en-US"/>
    </w:rPr>
  </w:style>
  <w:style w:type="character" w:customStyle="1" w:styleId="Heading8Char">
    <w:name w:val="Heading 8 Char"/>
    <w:link w:val="Heading8"/>
    <w:rsid w:val="002B0469"/>
    <w:rPr>
      <w:rFonts w:ascii="Arial" w:hAnsi="Arial"/>
      <w:b/>
      <w:snapToGrid w:val="0"/>
      <w:sz w:val="22"/>
      <w:lang w:val="fr-FR" w:eastAsia="en-US"/>
    </w:rPr>
  </w:style>
  <w:style w:type="character" w:customStyle="1" w:styleId="Heading9Char">
    <w:name w:val="Heading 9 Char"/>
    <w:link w:val="Heading9"/>
    <w:rsid w:val="002B0469"/>
    <w:rPr>
      <w:rFonts w:ascii="Cambria" w:hAnsi="Cambria"/>
      <w:snapToGrid w:val="0"/>
      <w:sz w:val="22"/>
      <w:szCs w:val="22"/>
      <w:lang w:val="fr-FR" w:eastAsia="en-US"/>
    </w:rPr>
  </w:style>
  <w:style w:type="character" w:customStyle="1" w:styleId="FontStyle27">
    <w:name w:val="Font Style27"/>
    <w:uiPriority w:val="99"/>
    <w:rsid w:val="00E344D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75192-003F-4B36-9764-CCCF81F3F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8</Pages>
  <Words>2625</Words>
  <Characters>14969</Characters>
  <Application>Microsoft Office Word</Application>
  <DocSecurity>0</DocSecurity>
  <Lines>124</Lines>
  <Paragraphs>35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17559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Plamen Todorov</cp:lastModifiedBy>
  <cp:revision>22</cp:revision>
  <cp:lastPrinted>2006-01-25T10:58:00Z</cp:lastPrinted>
  <dcterms:created xsi:type="dcterms:W3CDTF">2020-04-15T16:16:00Z</dcterms:created>
  <dcterms:modified xsi:type="dcterms:W3CDTF">2020-11-06T13:06:00Z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