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9F904" w14:textId="77777777" w:rsidR="005B10D0" w:rsidRDefault="005B10D0" w:rsidP="001A2BD1">
      <w:pPr>
        <w:jc w:val="both"/>
        <w:rPr>
          <w:rFonts w:ascii="Garamond" w:hAnsi="Garamond"/>
          <w:b/>
          <w:sz w:val="26"/>
          <w:szCs w:val="26"/>
          <w:lang w:val="en-US"/>
        </w:rPr>
      </w:pPr>
    </w:p>
    <w:p w14:paraId="1BA2EEAA" w14:textId="5C2C8768" w:rsidR="007E0C33" w:rsidRPr="005B10D0" w:rsidRDefault="008C376E" w:rsidP="005B10D0">
      <w:pPr>
        <w:spacing w:after="360"/>
        <w:jc w:val="both"/>
        <w:rPr>
          <w:rFonts w:ascii="Garamond" w:hAnsi="Garamond"/>
          <w:b/>
          <w:sz w:val="26"/>
          <w:szCs w:val="26"/>
          <w:lang w:val="en-US"/>
        </w:rPr>
      </w:pPr>
      <w:r>
        <w:rPr>
          <w:rFonts w:ascii="Garamond" w:hAnsi="Garamond"/>
          <w:b/>
          <w:sz w:val="26"/>
          <w:szCs w:val="26"/>
          <w:lang w:val="en-US"/>
        </w:rPr>
        <w:t>In order to facilitate the process</w:t>
      </w:r>
      <w:r w:rsidR="00D853D8" w:rsidRPr="0023507D">
        <w:rPr>
          <w:rFonts w:ascii="Garamond" w:hAnsi="Garamond"/>
          <w:b/>
          <w:sz w:val="26"/>
          <w:szCs w:val="26"/>
          <w:lang w:val="en-US"/>
        </w:rPr>
        <w:t xml:space="preserve"> </w:t>
      </w:r>
      <w:r>
        <w:rPr>
          <w:rFonts w:ascii="Garamond" w:hAnsi="Garamond"/>
          <w:b/>
          <w:sz w:val="26"/>
          <w:szCs w:val="26"/>
          <w:lang w:val="en-US"/>
        </w:rPr>
        <w:t xml:space="preserve">of </w:t>
      </w:r>
      <w:r w:rsidR="002B3B33">
        <w:rPr>
          <w:rFonts w:ascii="Garamond" w:hAnsi="Garamond"/>
          <w:b/>
          <w:sz w:val="26"/>
          <w:szCs w:val="26"/>
          <w:lang w:val="en-US"/>
        </w:rPr>
        <w:t xml:space="preserve">elaboration of tender dossiers and </w:t>
      </w:r>
      <w:r w:rsidR="00571A64" w:rsidRPr="0023507D">
        <w:rPr>
          <w:rFonts w:ascii="Garamond" w:hAnsi="Garamond"/>
          <w:b/>
          <w:sz w:val="26"/>
          <w:szCs w:val="26"/>
          <w:lang w:val="en-US"/>
        </w:rPr>
        <w:t xml:space="preserve">conducting of </w:t>
      </w:r>
      <w:r>
        <w:rPr>
          <w:rFonts w:ascii="Garamond" w:hAnsi="Garamond"/>
          <w:b/>
          <w:sz w:val="26"/>
          <w:szCs w:val="26"/>
          <w:lang w:val="en-US"/>
        </w:rPr>
        <w:t>s</w:t>
      </w:r>
      <w:r w:rsidR="00D853D8" w:rsidRPr="0023507D">
        <w:rPr>
          <w:rFonts w:ascii="Garamond" w:hAnsi="Garamond"/>
          <w:b/>
          <w:sz w:val="26"/>
          <w:szCs w:val="26"/>
          <w:lang w:val="en-US"/>
        </w:rPr>
        <w:t>ingle tender procedures</w:t>
      </w:r>
      <w:r w:rsidR="00571A64" w:rsidRPr="0023507D">
        <w:rPr>
          <w:rFonts w:ascii="Garamond" w:hAnsi="Garamond"/>
          <w:b/>
          <w:sz w:val="26"/>
          <w:szCs w:val="26"/>
          <w:lang w:val="en-US"/>
        </w:rPr>
        <w:t xml:space="preserve"> </w:t>
      </w:r>
      <w:r>
        <w:rPr>
          <w:rFonts w:ascii="Garamond" w:hAnsi="Garamond"/>
          <w:b/>
          <w:sz w:val="26"/>
          <w:szCs w:val="26"/>
          <w:lang w:val="en-US"/>
        </w:rPr>
        <w:t>for service</w:t>
      </w:r>
      <w:r w:rsidR="002B3B33">
        <w:rPr>
          <w:rFonts w:ascii="Garamond" w:hAnsi="Garamond"/>
          <w:b/>
          <w:sz w:val="26"/>
          <w:szCs w:val="26"/>
          <w:lang w:val="en-US"/>
        </w:rPr>
        <w:t>,</w:t>
      </w:r>
      <w:r>
        <w:rPr>
          <w:rFonts w:ascii="Garamond" w:hAnsi="Garamond"/>
          <w:b/>
          <w:sz w:val="26"/>
          <w:szCs w:val="26"/>
          <w:lang w:val="en-US"/>
        </w:rPr>
        <w:t xml:space="preserve"> </w:t>
      </w:r>
      <w:r w:rsidR="00D853D8" w:rsidRPr="0023507D">
        <w:rPr>
          <w:rFonts w:ascii="Garamond" w:hAnsi="Garamond"/>
          <w:b/>
          <w:sz w:val="26"/>
          <w:szCs w:val="26"/>
          <w:lang w:val="en-US"/>
        </w:rPr>
        <w:t xml:space="preserve">in compliance with </w:t>
      </w:r>
      <w:r w:rsidR="00571A64" w:rsidRPr="0023507D">
        <w:rPr>
          <w:rFonts w:ascii="Garamond" w:hAnsi="Garamond"/>
          <w:b/>
          <w:sz w:val="26"/>
          <w:szCs w:val="26"/>
          <w:lang w:val="en-US"/>
        </w:rPr>
        <w:t xml:space="preserve">the basic principles of </w:t>
      </w:r>
      <w:r>
        <w:rPr>
          <w:rFonts w:ascii="Garamond" w:hAnsi="Garamond"/>
          <w:b/>
          <w:sz w:val="26"/>
          <w:szCs w:val="26"/>
          <w:lang w:val="en-US"/>
        </w:rPr>
        <w:t xml:space="preserve">the </w:t>
      </w:r>
      <w:r w:rsidR="00571A64" w:rsidRPr="0023507D">
        <w:rPr>
          <w:rFonts w:ascii="Garamond" w:hAnsi="Garamond"/>
          <w:b/>
          <w:sz w:val="26"/>
          <w:szCs w:val="26"/>
          <w:lang w:val="en-US"/>
        </w:rPr>
        <w:t>PRAG</w:t>
      </w:r>
      <w:r w:rsidR="002421AE" w:rsidRPr="0023507D">
        <w:rPr>
          <w:rFonts w:ascii="Garamond" w:hAnsi="Garamond"/>
          <w:b/>
          <w:sz w:val="26"/>
          <w:szCs w:val="26"/>
          <w:lang w:val="en-US"/>
        </w:rPr>
        <w:t xml:space="preserve">, </w:t>
      </w:r>
      <w:r>
        <w:rPr>
          <w:rFonts w:ascii="Garamond" w:hAnsi="Garamond"/>
          <w:b/>
          <w:sz w:val="26"/>
          <w:szCs w:val="26"/>
          <w:lang w:val="en-US"/>
        </w:rPr>
        <w:t>t</w:t>
      </w:r>
      <w:r w:rsidRPr="0023507D">
        <w:rPr>
          <w:rFonts w:ascii="Garamond" w:hAnsi="Garamond"/>
          <w:b/>
          <w:sz w:val="26"/>
          <w:szCs w:val="26"/>
          <w:lang w:val="en-US"/>
        </w:rPr>
        <w:t xml:space="preserve">he </w:t>
      </w:r>
      <w:r w:rsidR="00CC7DFC" w:rsidRPr="0023507D">
        <w:rPr>
          <w:rFonts w:ascii="Garamond" w:hAnsi="Garamond"/>
          <w:b/>
          <w:sz w:val="26"/>
          <w:szCs w:val="26"/>
          <w:lang w:val="en-US"/>
        </w:rPr>
        <w:t xml:space="preserve">Managing Authority has </w:t>
      </w:r>
      <w:r>
        <w:rPr>
          <w:rFonts w:ascii="Garamond" w:hAnsi="Garamond"/>
          <w:b/>
          <w:sz w:val="26"/>
          <w:szCs w:val="26"/>
          <w:lang w:val="en-US"/>
        </w:rPr>
        <w:t xml:space="preserve">drafted the following clarification to the </w:t>
      </w:r>
      <w:r w:rsidR="002B3B33">
        <w:rPr>
          <w:rFonts w:ascii="Garamond" w:hAnsi="Garamond"/>
          <w:b/>
          <w:sz w:val="26"/>
          <w:szCs w:val="26"/>
          <w:lang w:val="en-US"/>
        </w:rPr>
        <w:t xml:space="preserve">respective </w:t>
      </w:r>
      <w:r>
        <w:rPr>
          <w:rFonts w:ascii="Garamond" w:hAnsi="Garamond"/>
          <w:b/>
          <w:sz w:val="26"/>
          <w:szCs w:val="26"/>
          <w:lang w:val="en-US"/>
        </w:rPr>
        <w:t xml:space="preserve">guidelines of the </w:t>
      </w:r>
      <w:r w:rsidRPr="0023507D">
        <w:rPr>
          <w:rFonts w:ascii="Garamond" w:hAnsi="Garamond"/>
          <w:b/>
          <w:sz w:val="26"/>
          <w:szCs w:val="26"/>
          <w:lang w:val="en-US"/>
        </w:rPr>
        <w:t xml:space="preserve">Project implementation manual and </w:t>
      </w:r>
      <w:r>
        <w:rPr>
          <w:rFonts w:ascii="Garamond" w:hAnsi="Garamond"/>
          <w:b/>
          <w:sz w:val="26"/>
          <w:szCs w:val="26"/>
          <w:lang w:val="en-US"/>
        </w:rPr>
        <w:t xml:space="preserve">the </w:t>
      </w:r>
      <w:r w:rsidRPr="0023507D">
        <w:rPr>
          <w:rFonts w:ascii="Garamond" w:hAnsi="Garamond"/>
          <w:b/>
          <w:sz w:val="26"/>
          <w:szCs w:val="26"/>
          <w:lang w:val="en-US"/>
        </w:rPr>
        <w:t>PRAG</w:t>
      </w:r>
      <w:r w:rsidR="00AC6AFB" w:rsidRPr="0023507D">
        <w:rPr>
          <w:rFonts w:ascii="Garamond" w:hAnsi="Garamond"/>
          <w:b/>
          <w:sz w:val="26"/>
          <w:szCs w:val="26"/>
          <w:lang w:val="en-US"/>
        </w:rPr>
        <w:t>.</w:t>
      </w:r>
      <w:r>
        <w:rPr>
          <w:rFonts w:ascii="Garamond" w:hAnsi="Garamond"/>
          <w:b/>
          <w:sz w:val="26"/>
          <w:szCs w:val="26"/>
          <w:lang w:val="en-US"/>
        </w:rPr>
        <w:t xml:space="preserve"> </w:t>
      </w:r>
      <w:r w:rsidR="00571A64" w:rsidRPr="0023507D">
        <w:rPr>
          <w:rFonts w:ascii="Garamond" w:hAnsi="Garamond"/>
          <w:b/>
          <w:sz w:val="26"/>
          <w:szCs w:val="26"/>
          <w:lang w:val="en-US"/>
        </w:rPr>
        <w:t xml:space="preserve">The </w:t>
      </w:r>
      <w:r>
        <w:rPr>
          <w:rFonts w:ascii="Garamond" w:hAnsi="Garamond"/>
          <w:b/>
          <w:sz w:val="26"/>
          <w:szCs w:val="26"/>
          <w:lang w:val="en-US"/>
        </w:rPr>
        <w:t>instructions</w:t>
      </w:r>
      <w:r w:rsidRPr="0023507D">
        <w:rPr>
          <w:rFonts w:ascii="Garamond" w:hAnsi="Garamond"/>
          <w:b/>
          <w:sz w:val="26"/>
          <w:szCs w:val="26"/>
          <w:lang w:val="en-US"/>
        </w:rPr>
        <w:t xml:space="preserve"> </w:t>
      </w:r>
      <w:proofErr w:type="gramStart"/>
      <w:r w:rsidR="00F85B73" w:rsidRPr="0023507D">
        <w:rPr>
          <w:rFonts w:ascii="Garamond" w:hAnsi="Garamond"/>
          <w:b/>
          <w:sz w:val="26"/>
          <w:szCs w:val="26"/>
          <w:lang w:val="en-US"/>
        </w:rPr>
        <w:t>bellow</w:t>
      </w:r>
      <w:r w:rsidR="00F85B73">
        <w:rPr>
          <w:rFonts w:ascii="Garamond" w:hAnsi="Garamond"/>
          <w:b/>
          <w:sz w:val="26"/>
          <w:szCs w:val="26"/>
          <w:lang w:val="en-US"/>
        </w:rPr>
        <w:t xml:space="preserve"> </w:t>
      </w:r>
      <w:r w:rsidR="00F85B73" w:rsidRPr="0023507D">
        <w:rPr>
          <w:rFonts w:ascii="Garamond" w:hAnsi="Garamond"/>
          <w:b/>
          <w:sz w:val="26"/>
          <w:szCs w:val="26"/>
          <w:lang w:val="en-US"/>
        </w:rPr>
        <w:t>follow</w:t>
      </w:r>
      <w:proofErr w:type="gramEnd"/>
      <w:r w:rsidR="002B3B33" w:rsidRPr="0023507D">
        <w:rPr>
          <w:rFonts w:ascii="Garamond" w:hAnsi="Garamond"/>
          <w:b/>
          <w:sz w:val="26"/>
          <w:szCs w:val="26"/>
          <w:lang w:val="en-US"/>
        </w:rPr>
        <w:t xml:space="preserve"> </w:t>
      </w:r>
      <w:r w:rsidR="00A46726" w:rsidRPr="0023507D">
        <w:rPr>
          <w:rFonts w:ascii="Garamond" w:hAnsi="Garamond"/>
          <w:b/>
          <w:sz w:val="26"/>
          <w:szCs w:val="26"/>
          <w:lang w:val="en-US"/>
        </w:rPr>
        <w:t>the main steps and</w:t>
      </w:r>
      <w:r w:rsidR="00571A64" w:rsidRPr="0023507D">
        <w:rPr>
          <w:rFonts w:ascii="Garamond" w:hAnsi="Garamond"/>
          <w:b/>
          <w:sz w:val="26"/>
          <w:szCs w:val="26"/>
          <w:lang w:val="en-US"/>
        </w:rPr>
        <w:t xml:space="preserve"> the minimal set of documents</w:t>
      </w:r>
      <w:r>
        <w:rPr>
          <w:rFonts w:ascii="Garamond" w:hAnsi="Garamond"/>
          <w:b/>
          <w:sz w:val="26"/>
          <w:szCs w:val="26"/>
          <w:lang w:val="en-US"/>
        </w:rPr>
        <w:t xml:space="preserve">, applicable to </w:t>
      </w:r>
      <w:r w:rsidR="002B3B33">
        <w:rPr>
          <w:rFonts w:ascii="Garamond" w:hAnsi="Garamond"/>
          <w:b/>
          <w:sz w:val="26"/>
          <w:szCs w:val="26"/>
          <w:lang w:val="en-US"/>
        </w:rPr>
        <w:t xml:space="preserve">the </w:t>
      </w:r>
      <w:r>
        <w:rPr>
          <w:rFonts w:ascii="Garamond" w:hAnsi="Garamond"/>
          <w:b/>
          <w:sz w:val="26"/>
          <w:szCs w:val="26"/>
          <w:lang w:val="en-US"/>
        </w:rPr>
        <w:t>single tenders for service</w:t>
      </w:r>
      <w:r w:rsidR="002B3B33">
        <w:rPr>
          <w:rFonts w:ascii="Garamond" w:hAnsi="Garamond"/>
          <w:b/>
          <w:sz w:val="26"/>
          <w:szCs w:val="26"/>
          <w:lang w:val="en-US"/>
        </w:rPr>
        <w:t>:</w:t>
      </w:r>
      <w:r w:rsidR="002B3B33" w:rsidRPr="0023507D">
        <w:rPr>
          <w:rFonts w:ascii="Garamond" w:hAnsi="Garamond"/>
          <w:b/>
          <w:sz w:val="26"/>
          <w:szCs w:val="26"/>
          <w:lang w:val="en-US"/>
        </w:rPr>
        <w:t xml:space="preserve"> </w:t>
      </w:r>
    </w:p>
    <w:tbl>
      <w:tblPr>
        <w:tblStyle w:val="TableGrid"/>
        <w:tblW w:w="9072" w:type="dxa"/>
        <w:tblInd w:w="108" w:type="dxa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072"/>
      </w:tblGrid>
      <w:tr w:rsidR="00E7226C" w:rsidRPr="001A2BD1" w14:paraId="32927778" w14:textId="77777777" w:rsidTr="005B10D0">
        <w:tc>
          <w:tcPr>
            <w:tcW w:w="9072" w:type="dxa"/>
            <w:shd w:val="clear" w:color="auto" w:fill="2E74B5" w:themeFill="accent1" w:themeFillShade="BF"/>
          </w:tcPr>
          <w:p w14:paraId="54AAABED" w14:textId="77777777" w:rsidR="00E7226C" w:rsidRPr="001A2BD1" w:rsidRDefault="00E7226C" w:rsidP="00F22D8F">
            <w:pPr>
              <w:jc w:val="center"/>
              <w:rPr>
                <w:rFonts w:ascii="Garamond" w:hAnsi="Garamond"/>
                <w:b/>
                <w:sz w:val="24"/>
                <w:lang w:val="en-US"/>
              </w:rPr>
            </w:pPr>
            <w:r w:rsidRPr="001A2BD1">
              <w:rPr>
                <w:rFonts w:ascii="Garamond" w:hAnsi="Garamond"/>
                <w:b/>
                <w:color w:val="FFFFFF" w:themeColor="background1"/>
                <w:sz w:val="32"/>
                <w:lang w:val="en-US"/>
              </w:rPr>
              <w:t>SINGLE TENDER</w:t>
            </w:r>
            <w:r w:rsidR="00AB4217" w:rsidRPr="001A2BD1">
              <w:rPr>
                <w:rFonts w:ascii="Garamond" w:hAnsi="Garamond"/>
                <w:b/>
                <w:color w:val="FFFFFF" w:themeColor="background1"/>
                <w:sz w:val="32"/>
                <w:lang w:val="en-US"/>
              </w:rPr>
              <w:t xml:space="preserve"> - </w:t>
            </w:r>
            <w:r w:rsidR="00F22D8F" w:rsidRPr="001A2BD1">
              <w:rPr>
                <w:rFonts w:ascii="Garamond" w:hAnsi="Garamond"/>
                <w:b/>
                <w:color w:val="FFFFFF" w:themeColor="background1"/>
                <w:sz w:val="32"/>
                <w:lang w:val="en-US"/>
              </w:rPr>
              <w:t>S</w:t>
            </w:r>
            <w:r w:rsidR="00AB4217" w:rsidRPr="001A2BD1">
              <w:rPr>
                <w:rFonts w:ascii="Garamond" w:hAnsi="Garamond"/>
                <w:b/>
                <w:color w:val="FFFFFF" w:themeColor="background1"/>
                <w:sz w:val="32"/>
                <w:lang w:val="en-US"/>
              </w:rPr>
              <w:t>ervice</w:t>
            </w:r>
          </w:p>
        </w:tc>
      </w:tr>
      <w:tr w:rsidR="008B52A3" w:rsidRPr="001A2BD1" w14:paraId="0C5374B4" w14:textId="77777777" w:rsidTr="005B10D0">
        <w:tblPrEx>
          <w:shd w:val="clear" w:color="auto" w:fill="auto"/>
        </w:tblPrEx>
        <w:tc>
          <w:tcPr>
            <w:tcW w:w="907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5DCE4" w:themeFill="text2" w:themeFillTint="33"/>
          </w:tcPr>
          <w:p w14:paraId="37FDFE4D" w14:textId="77777777" w:rsidR="00166CBE" w:rsidRDefault="00166CBE" w:rsidP="00F22D8F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  <w:p w14:paraId="2611A34B" w14:textId="77777777" w:rsidR="008B52A3" w:rsidRPr="001A2BD1" w:rsidRDefault="008B52A3" w:rsidP="00F22D8F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1A2BD1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In case of Single Tender Procedures for </w:t>
            </w:r>
            <w:r w:rsidRPr="001A2BD1">
              <w:rPr>
                <w:rFonts w:ascii="Garamond" w:hAnsi="Garamond"/>
                <w:b/>
                <w:sz w:val="24"/>
                <w:szCs w:val="24"/>
                <w:u w:val="single"/>
                <w:lang w:val="en-US"/>
              </w:rPr>
              <w:t>SERVICES</w:t>
            </w:r>
            <w:r w:rsidRPr="001A2BD1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 </w:t>
            </w:r>
            <w:r w:rsidRPr="007E0C33">
              <w:rPr>
                <w:rFonts w:ascii="Garamond" w:hAnsi="Garamond"/>
                <w:b/>
                <w:sz w:val="24"/>
                <w:szCs w:val="24"/>
                <w:u w:val="single"/>
                <w:lang w:val="en-US"/>
              </w:rPr>
              <w:t xml:space="preserve">one of </w:t>
            </w:r>
            <w:r w:rsidR="00E24705" w:rsidRPr="007E0C33">
              <w:rPr>
                <w:rFonts w:ascii="Garamond" w:hAnsi="Garamond"/>
                <w:b/>
                <w:sz w:val="24"/>
                <w:szCs w:val="24"/>
                <w:u w:val="single"/>
                <w:lang w:val="en-US"/>
              </w:rPr>
              <w:t>two</w:t>
            </w:r>
            <w:r w:rsidRPr="007E0C33">
              <w:rPr>
                <w:rFonts w:ascii="Garamond" w:hAnsi="Garamond"/>
                <w:b/>
                <w:sz w:val="24"/>
                <w:szCs w:val="24"/>
                <w:u w:val="single"/>
                <w:lang w:val="en-US"/>
              </w:rPr>
              <w:t xml:space="preserve"> possible</w:t>
            </w:r>
            <w:r w:rsidRPr="001A2BD1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 scenarios </w:t>
            </w:r>
            <w:r w:rsidR="00DD24E5" w:rsidRPr="001A2BD1">
              <w:rPr>
                <w:rFonts w:ascii="Garamond" w:hAnsi="Garamond"/>
                <w:b/>
                <w:sz w:val="24"/>
                <w:szCs w:val="24"/>
                <w:lang w:val="en-US"/>
              </w:rPr>
              <w:t>could</w:t>
            </w:r>
            <w:r w:rsidRPr="001A2BD1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 be followed:</w:t>
            </w:r>
          </w:p>
          <w:p w14:paraId="0DB24D7D" w14:textId="77777777" w:rsidR="00F22D8F" w:rsidRPr="001A2BD1" w:rsidRDefault="00F22D8F" w:rsidP="00E24705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1F6E4E" w:rsidRPr="001A2BD1" w14:paraId="31697069" w14:textId="77777777" w:rsidTr="005B10D0">
        <w:tblPrEx>
          <w:shd w:val="clear" w:color="auto" w:fill="auto"/>
        </w:tblPrEx>
        <w:tc>
          <w:tcPr>
            <w:tcW w:w="907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5DCE4" w:themeFill="text2" w:themeFillTint="33"/>
          </w:tcPr>
          <w:p w14:paraId="78B0CB05" w14:textId="77777777" w:rsidR="001F6E4E" w:rsidRPr="007E0C33" w:rsidRDefault="00860521" w:rsidP="00EF7C72">
            <w:pPr>
              <w:jc w:val="both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  <w:r w:rsidRPr="007E0C33">
              <w:rPr>
                <w:rFonts w:ascii="Garamond" w:hAnsi="Garamond"/>
                <w:b/>
                <w:sz w:val="28"/>
                <w:szCs w:val="28"/>
                <w:lang w:val="en-US"/>
              </w:rPr>
              <w:t xml:space="preserve">1. </w:t>
            </w:r>
            <w:r w:rsidRPr="00432D8A">
              <w:rPr>
                <w:rFonts w:ascii="Garamond" w:hAnsi="Garamond"/>
                <w:b/>
                <w:sz w:val="28"/>
                <w:szCs w:val="28"/>
                <w:lang w:val="en-US"/>
              </w:rPr>
              <w:t>One tenderer invited:</w:t>
            </w:r>
          </w:p>
        </w:tc>
      </w:tr>
      <w:tr w:rsidR="008B52A3" w:rsidRPr="001A2BD1" w14:paraId="77997148" w14:textId="77777777" w:rsidTr="005B10D0">
        <w:tblPrEx>
          <w:shd w:val="clear" w:color="auto" w:fill="auto"/>
        </w:tblPrEx>
        <w:trPr>
          <w:trHeight w:val="1932"/>
        </w:trPr>
        <w:tc>
          <w:tcPr>
            <w:tcW w:w="907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5DCE4" w:themeFill="text2" w:themeFillTint="33"/>
          </w:tcPr>
          <w:p w14:paraId="350A2DB5" w14:textId="77777777" w:rsidR="00A46726" w:rsidRPr="001A2BD1" w:rsidRDefault="00A46726" w:rsidP="00A46726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14:paraId="32D5D34A" w14:textId="2F0EF415" w:rsidR="000E6E06" w:rsidRDefault="00E02405" w:rsidP="000E6E06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B</w:t>
            </w:r>
            <w:r w:rsidR="00F960D9">
              <w:rPr>
                <w:rFonts w:ascii="Garamond" w:hAnsi="Garamond"/>
                <w:sz w:val="24"/>
                <w:szCs w:val="24"/>
                <w:lang w:val="en-US"/>
              </w:rPr>
              <w:t xml:space="preserve">ased on </w:t>
            </w:r>
            <w:r w:rsidR="001C17CA">
              <w:rPr>
                <w:rFonts w:ascii="Garamond" w:hAnsi="Garamond"/>
                <w:sz w:val="24"/>
                <w:szCs w:val="24"/>
                <w:lang w:val="en-US"/>
              </w:rPr>
              <w:t>the complexity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,</w:t>
            </w:r>
            <w:r w:rsidR="00F960D9">
              <w:rPr>
                <w:rFonts w:ascii="Garamond" w:hAnsi="Garamond"/>
                <w:sz w:val="24"/>
                <w:szCs w:val="24"/>
                <w:lang w:val="en-US"/>
              </w:rPr>
              <w:t xml:space="preserve"> amount</w:t>
            </w:r>
            <w:r w:rsidR="00F960D9">
              <w:rPr>
                <w:rFonts w:ascii="Garamond" w:hAnsi="Garamond"/>
                <w:sz w:val="24"/>
                <w:szCs w:val="24"/>
                <w:lang w:val="en-US"/>
              </w:rPr>
              <w:t xml:space="preserve"> and </w:t>
            </w:r>
            <w:r w:rsidR="00F960D9">
              <w:rPr>
                <w:rFonts w:ascii="Garamond" w:hAnsi="Garamond"/>
                <w:sz w:val="24"/>
                <w:szCs w:val="24"/>
                <w:lang w:val="en-US"/>
              </w:rPr>
              <w:t xml:space="preserve">the nature </w:t>
            </w:r>
            <w:r w:rsidR="004E5B88">
              <w:rPr>
                <w:rFonts w:ascii="Garamond" w:hAnsi="Garamond"/>
                <w:sz w:val="24"/>
                <w:szCs w:val="24"/>
                <w:lang w:val="en-US"/>
              </w:rPr>
              <w:t>of the tender, t</w:t>
            </w:r>
            <w:r w:rsidR="001C17CA">
              <w:rPr>
                <w:rFonts w:ascii="Garamond" w:hAnsi="Garamond"/>
                <w:sz w:val="24"/>
                <w:szCs w:val="24"/>
                <w:lang w:val="en-US"/>
              </w:rPr>
              <w:t>he Beneficiary</w:t>
            </w:r>
            <w:r w:rsidR="004E5B88">
              <w:rPr>
                <w:rFonts w:ascii="Garamond" w:hAnsi="Garamond"/>
                <w:sz w:val="24"/>
                <w:szCs w:val="24"/>
                <w:lang w:val="en-US"/>
              </w:rPr>
              <w:t xml:space="preserve"> may choose</w:t>
            </w:r>
            <w:r w:rsidR="004E5B88"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 to invite </w:t>
            </w:r>
            <w:r w:rsidR="004E5B88" w:rsidRPr="00166CBE">
              <w:rPr>
                <w:rFonts w:ascii="Garamond" w:hAnsi="Garamond"/>
                <w:b/>
                <w:sz w:val="24"/>
                <w:szCs w:val="24"/>
                <w:lang w:val="en-US"/>
              </w:rPr>
              <w:t>ONLY ONE TENDERER</w:t>
            </w:r>
            <w:r w:rsidR="004E5B88"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 under a Single Tender Procedure</w:t>
            </w:r>
            <w:r w:rsidR="004E5B88">
              <w:rPr>
                <w:rFonts w:ascii="Garamond" w:hAnsi="Garamond"/>
                <w:sz w:val="24"/>
                <w:szCs w:val="24"/>
                <w:lang w:val="en-US"/>
              </w:rPr>
              <w:t>.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this </w:t>
            </w:r>
            <w:r w:rsidRPr="001A2BD1">
              <w:rPr>
                <w:rFonts w:ascii="Garamond" w:hAnsi="Garamond"/>
                <w:sz w:val="24"/>
                <w:szCs w:val="24"/>
                <w:lang w:val="en-US"/>
              </w:rPr>
              <w:t>case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,</w:t>
            </w:r>
            <w:r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8B52A3"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the simplified dossiers adapted by the Joint Secretariat and available with the most recent version of </w:t>
            </w:r>
            <w:r w:rsidR="002B3B33">
              <w:rPr>
                <w:rFonts w:ascii="Garamond" w:hAnsi="Garamond"/>
                <w:sz w:val="24"/>
                <w:szCs w:val="24"/>
                <w:lang w:val="en-US"/>
              </w:rPr>
              <w:t xml:space="preserve">the </w:t>
            </w:r>
            <w:r w:rsidR="008B52A3" w:rsidRPr="001A2BD1">
              <w:rPr>
                <w:rFonts w:ascii="Garamond" w:hAnsi="Garamond"/>
                <w:sz w:val="24"/>
                <w:szCs w:val="24"/>
                <w:lang w:val="en-US"/>
              </w:rPr>
              <w:t>PIM (Annex 14.1.1)</w:t>
            </w:r>
            <w:r w:rsidR="000E6E06">
              <w:rPr>
                <w:rFonts w:ascii="Garamond" w:hAnsi="Garamond"/>
                <w:sz w:val="24"/>
                <w:szCs w:val="24"/>
                <w:lang w:val="en-US"/>
              </w:rPr>
              <w:t xml:space="preserve"> could be used. The assessment of the tender should be carried out under the template for </w:t>
            </w:r>
            <w:r w:rsidR="000E6E06" w:rsidRPr="00962B42">
              <w:rPr>
                <w:rFonts w:ascii="Garamond" w:hAnsi="Garamond"/>
                <w:sz w:val="24"/>
                <w:szCs w:val="24"/>
                <w:lang w:val="en-US"/>
              </w:rPr>
              <w:t>Negotiation report for single tenders</w:t>
            </w:r>
            <w:r w:rsidR="000E6E06">
              <w:rPr>
                <w:rFonts w:ascii="Garamond" w:hAnsi="Garamond"/>
                <w:sz w:val="24"/>
                <w:szCs w:val="24"/>
                <w:lang w:val="en-US"/>
              </w:rPr>
              <w:t>, annex A10b o</w:t>
            </w:r>
            <w:r w:rsidR="000E6E06"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f </w:t>
            </w:r>
            <w:r w:rsidR="000E6E06">
              <w:rPr>
                <w:rFonts w:ascii="Garamond" w:hAnsi="Garamond"/>
                <w:sz w:val="24"/>
                <w:szCs w:val="24"/>
                <w:lang w:val="en-US"/>
              </w:rPr>
              <w:t xml:space="preserve">the </w:t>
            </w:r>
            <w:r w:rsidR="000E6E06" w:rsidRPr="001A2BD1">
              <w:rPr>
                <w:rFonts w:ascii="Garamond" w:hAnsi="Garamond"/>
                <w:sz w:val="24"/>
                <w:szCs w:val="24"/>
                <w:lang w:val="en-US"/>
              </w:rPr>
              <w:t>PRAG (see Table 1 below)</w:t>
            </w:r>
            <w:r w:rsidR="000E6E06">
              <w:rPr>
                <w:rFonts w:ascii="Garamond" w:hAnsi="Garamond"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  <w:r>
              <w:rPr>
                <w:rFonts w:ascii="Garamond" w:hAnsi="Garamond"/>
                <w:sz w:val="24"/>
                <w:szCs w:val="24"/>
                <w:lang w:val="en-US"/>
              </w:rPr>
              <w:t>Following this scenario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,</w:t>
            </w:r>
            <w:r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0E6E06"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the </w:t>
            </w:r>
            <w:r w:rsidR="000E6E06">
              <w:rPr>
                <w:rFonts w:ascii="Garamond" w:hAnsi="Garamond"/>
                <w:sz w:val="24"/>
                <w:szCs w:val="24"/>
                <w:lang w:val="en-US"/>
              </w:rPr>
              <w:t>assessment</w:t>
            </w:r>
            <w:r w:rsidR="000E6E06"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 procedure serves only for confirming the administrative and te</w:t>
            </w:r>
            <w:r w:rsidR="000E6E06">
              <w:rPr>
                <w:rFonts w:ascii="Garamond" w:hAnsi="Garamond"/>
                <w:sz w:val="24"/>
                <w:szCs w:val="24"/>
                <w:lang w:val="en-US"/>
              </w:rPr>
              <w:t>chnical compliance of the tender to the requirements, set out in the Instruction to tenderers.</w:t>
            </w:r>
          </w:p>
          <w:p w14:paraId="3989D411" w14:textId="11ED583A" w:rsidR="00EB22A7" w:rsidRPr="00853D81" w:rsidRDefault="00EB22A7" w:rsidP="000E6E06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1F6E4E" w:rsidRPr="001A2BD1" w14:paraId="7637DD7B" w14:textId="77777777" w:rsidTr="005B10D0">
        <w:tblPrEx>
          <w:shd w:val="clear" w:color="auto" w:fill="auto"/>
        </w:tblPrEx>
        <w:tc>
          <w:tcPr>
            <w:tcW w:w="907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5DCE4" w:themeFill="text2" w:themeFillTint="33"/>
          </w:tcPr>
          <w:p w14:paraId="549BC094" w14:textId="42059D7C" w:rsidR="001F6E4E" w:rsidRPr="001A2BD1" w:rsidRDefault="00860521" w:rsidP="00E92FCF">
            <w:pPr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1A2BD1">
              <w:rPr>
                <w:rFonts w:ascii="Garamond" w:hAnsi="Garamond"/>
                <w:b/>
                <w:sz w:val="28"/>
                <w:szCs w:val="28"/>
                <w:lang w:val="en-US"/>
              </w:rPr>
              <w:t>2. More than one tenderer invited</w:t>
            </w:r>
            <w:r w:rsidR="002C3EFD">
              <w:rPr>
                <w:rFonts w:ascii="Garamond" w:hAnsi="Garamond"/>
                <w:b/>
                <w:sz w:val="28"/>
                <w:szCs w:val="28"/>
                <w:lang w:val="en-US"/>
              </w:rPr>
              <w:t>:</w:t>
            </w:r>
          </w:p>
        </w:tc>
      </w:tr>
      <w:tr w:rsidR="008B52A3" w:rsidRPr="001A2BD1" w14:paraId="672C8496" w14:textId="77777777" w:rsidTr="005B10D0">
        <w:tblPrEx>
          <w:shd w:val="clear" w:color="auto" w:fill="auto"/>
        </w:tblPrEx>
        <w:tc>
          <w:tcPr>
            <w:tcW w:w="9072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D5DCE4" w:themeFill="text2" w:themeFillTint="33"/>
          </w:tcPr>
          <w:p w14:paraId="5838B137" w14:textId="77777777" w:rsidR="001A2BD1" w:rsidRDefault="001A2BD1" w:rsidP="000308C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14:paraId="11F37CCD" w14:textId="1A404ED1" w:rsidR="008B52A3" w:rsidRDefault="001F6E4E" w:rsidP="000308C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In case the Beneficiary, i.e. </w:t>
            </w:r>
            <w:r w:rsidR="00962B42">
              <w:rPr>
                <w:rFonts w:ascii="Garamond" w:hAnsi="Garamond"/>
                <w:sz w:val="24"/>
                <w:szCs w:val="24"/>
                <w:lang w:val="en-US"/>
              </w:rPr>
              <w:t xml:space="preserve">the </w:t>
            </w:r>
            <w:r w:rsidRPr="001A2BD1">
              <w:rPr>
                <w:rFonts w:ascii="Garamond" w:hAnsi="Garamond"/>
                <w:sz w:val="24"/>
                <w:szCs w:val="24"/>
                <w:lang w:val="en-US"/>
              </w:rPr>
              <w:t>Contracting Authority</w:t>
            </w:r>
            <w:r w:rsidR="00DD24E5" w:rsidRPr="001A2BD1">
              <w:rPr>
                <w:rFonts w:ascii="Garamond" w:hAnsi="Garamond"/>
                <w:sz w:val="24"/>
                <w:szCs w:val="24"/>
                <w:lang w:val="en-US"/>
              </w:rPr>
              <w:t>,</w:t>
            </w:r>
            <w:r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 decides to invite </w:t>
            </w:r>
            <w:r w:rsidRPr="00166CBE">
              <w:rPr>
                <w:rFonts w:ascii="Garamond" w:hAnsi="Garamond"/>
                <w:b/>
                <w:sz w:val="24"/>
                <w:szCs w:val="24"/>
                <w:lang w:val="en-US"/>
              </w:rPr>
              <w:t>MORE THAN ONE TENDERER</w:t>
            </w:r>
            <w:r w:rsidR="00962B42">
              <w:rPr>
                <w:rFonts w:ascii="Garamond" w:hAnsi="Garamond"/>
                <w:b/>
                <w:sz w:val="24"/>
                <w:szCs w:val="24"/>
                <w:lang w:val="en-US"/>
              </w:rPr>
              <w:t>/ PUBLISHES THE TENDER DOSSIER</w:t>
            </w:r>
            <w:r w:rsidR="00166CBE">
              <w:rPr>
                <w:rFonts w:ascii="Garamond" w:hAnsi="Garamond"/>
                <w:sz w:val="24"/>
                <w:szCs w:val="24"/>
                <w:lang w:val="en-US"/>
              </w:rPr>
              <w:t>,</w:t>
            </w:r>
            <w:r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 the respective PRAG tender dossier for Competitive negotiated procedure (</w:t>
            </w:r>
            <w:r w:rsidRPr="00166CBE">
              <w:rPr>
                <w:rFonts w:ascii="Garamond" w:hAnsi="Garamond"/>
                <w:b/>
                <w:i/>
                <w:sz w:val="24"/>
                <w:szCs w:val="24"/>
                <w:lang w:val="en-US"/>
              </w:rPr>
              <w:t>simplified tender dossier</w:t>
            </w:r>
            <w:r w:rsidR="00DD24E5" w:rsidRPr="00166CBE">
              <w:rPr>
                <w:rFonts w:ascii="Garamond" w:hAnsi="Garamond"/>
                <w:b/>
                <w:i/>
                <w:sz w:val="24"/>
                <w:szCs w:val="24"/>
                <w:lang w:val="en-US"/>
              </w:rPr>
              <w:t xml:space="preserve"> – b8o</w:t>
            </w:r>
            <w:r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) is to be used. </w:t>
            </w:r>
            <w:r w:rsidR="00962B42">
              <w:rPr>
                <w:rFonts w:ascii="Garamond" w:hAnsi="Garamond"/>
                <w:sz w:val="24"/>
                <w:szCs w:val="24"/>
                <w:lang w:val="en-US"/>
              </w:rPr>
              <w:t xml:space="preserve">The </w:t>
            </w:r>
            <w:r w:rsidR="000308CE"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Contracting Authority has to </w:t>
            </w:r>
            <w:r w:rsidR="00962B42">
              <w:rPr>
                <w:rFonts w:ascii="Garamond" w:hAnsi="Garamond"/>
                <w:sz w:val="24"/>
                <w:szCs w:val="24"/>
                <w:lang w:val="en-US"/>
              </w:rPr>
              <w:t>evaluate all tenders according to</w:t>
            </w:r>
            <w:r w:rsidR="00962B42"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0308CE"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the </w:t>
            </w:r>
            <w:r w:rsidR="00962B42">
              <w:rPr>
                <w:rFonts w:ascii="Garamond" w:hAnsi="Garamond"/>
                <w:sz w:val="24"/>
                <w:szCs w:val="24"/>
                <w:lang w:val="en-US"/>
              </w:rPr>
              <w:t>“</w:t>
            </w:r>
            <w:r w:rsidR="000308CE" w:rsidRPr="001A2BD1">
              <w:rPr>
                <w:rFonts w:ascii="Garamond" w:hAnsi="Garamond"/>
                <w:sz w:val="24"/>
                <w:szCs w:val="24"/>
                <w:lang w:val="en-US"/>
              </w:rPr>
              <w:t>best value for money</w:t>
            </w:r>
            <w:r w:rsidR="00962B42">
              <w:rPr>
                <w:rFonts w:ascii="Garamond" w:hAnsi="Garamond"/>
                <w:sz w:val="24"/>
                <w:szCs w:val="24"/>
                <w:lang w:val="en-US"/>
              </w:rPr>
              <w:t>”</w:t>
            </w:r>
            <w:r w:rsidR="000308CE"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962B42">
              <w:rPr>
                <w:rFonts w:ascii="Garamond" w:hAnsi="Garamond"/>
                <w:sz w:val="24"/>
                <w:szCs w:val="24"/>
                <w:lang w:val="en-US"/>
              </w:rPr>
              <w:t xml:space="preserve">award criterion, </w:t>
            </w:r>
            <w:r w:rsidR="002B3B33">
              <w:rPr>
                <w:rFonts w:ascii="Garamond" w:hAnsi="Garamond"/>
                <w:sz w:val="24"/>
                <w:szCs w:val="24"/>
                <w:lang w:val="en-US"/>
              </w:rPr>
              <w:t>by</w:t>
            </w:r>
            <w:r w:rsidR="002B3B33"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0308CE" w:rsidRPr="001A2BD1">
              <w:rPr>
                <w:rFonts w:ascii="Garamond" w:hAnsi="Garamond"/>
                <w:sz w:val="24"/>
                <w:szCs w:val="24"/>
                <w:lang w:val="en-US"/>
              </w:rPr>
              <w:t>establishing best price-quality ratio</w:t>
            </w:r>
            <w:r w:rsidR="002B3B33">
              <w:rPr>
                <w:rFonts w:ascii="Garamond" w:hAnsi="Garamond"/>
                <w:sz w:val="24"/>
                <w:szCs w:val="24"/>
                <w:lang w:val="en-US"/>
              </w:rPr>
              <w:t>,</w:t>
            </w:r>
            <w:r w:rsidR="000308CE"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2B3B33">
              <w:rPr>
                <w:rFonts w:ascii="Garamond" w:hAnsi="Garamond"/>
                <w:sz w:val="24"/>
                <w:szCs w:val="24"/>
                <w:lang w:val="en-US"/>
              </w:rPr>
              <w:t xml:space="preserve">and </w:t>
            </w:r>
            <w:r w:rsidR="000308CE"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weighing technical quality against price on an 80/20 basis. This evaluation </w:t>
            </w:r>
            <w:r w:rsidR="00340D35" w:rsidRPr="001A2BD1">
              <w:rPr>
                <w:rFonts w:ascii="Garamond" w:hAnsi="Garamond"/>
                <w:sz w:val="24"/>
                <w:szCs w:val="24"/>
                <w:lang w:val="en-US"/>
              </w:rPr>
              <w:t>must</w:t>
            </w:r>
            <w:r w:rsidR="000308CE"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962B42">
              <w:rPr>
                <w:rFonts w:ascii="Garamond" w:hAnsi="Garamond"/>
                <w:sz w:val="24"/>
                <w:szCs w:val="24"/>
                <w:lang w:val="en-US"/>
              </w:rPr>
              <w:t xml:space="preserve">also </w:t>
            </w:r>
            <w:r w:rsidR="000308CE" w:rsidRPr="001A2BD1">
              <w:rPr>
                <w:rFonts w:ascii="Garamond" w:hAnsi="Garamond"/>
                <w:sz w:val="24"/>
                <w:szCs w:val="24"/>
                <w:lang w:val="en-US"/>
              </w:rPr>
              <w:t>be documented in the Negotiation Report</w:t>
            </w:r>
            <w:r w:rsidR="002B3B33" w:rsidRPr="00962B42">
              <w:rPr>
                <w:rFonts w:ascii="Garamond" w:hAnsi="Garamond"/>
                <w:sz w:val="24"/>
                <w:szCs w:val="24"/>
                <w:lang w:val="en-US"/>
              </w:rPr>
              <w:t xml:space="preserve"> for single tenders</w:t>
            </w:r>
            <w:r w:rsidR="002B3B33">
              <w:rPr>
                <w:rFonts w:ascii="Garamond" w:hAnsi="Garamond"/>
                <w:sz w:val="24"/>
                <w:szCs w:val="24"/>
                <w:lang w:val="en-US"/>
              </w:rPr>
              <w:t xml:space="preserve">, annex </w:t>
            </w:r>
            <w:r w:rsidR="002B3B33" w:rsidRPr="00962B42">
              <w:rPr>
                <w:rFonts w:ascii="Garamond" w:hAnsi="Garamond"/>
                <w:sz w:val="24"/>
                <w:szCs w:val="24"/>
                <w:lang w:val="en-US"/>
              </w:rPr>
              <w:t>A10b</w:t>
            </w:r>
            <w:r w:rsidR="002B3B33">
              <w:rPr>
                <w:rFonts w:ascii="Garamond" w:hAnsi="Garamond"/>
                <w:sz w:val="24"/>
                <w:szCs w:val="24"/>
                <w:lang w:val="en-US"/>
              </w:rPr>
              <w:t xml:space="preserve"> o</w:t>
            </w:r>
            <w:r w:rsidR="002B3B33" w:rsidRPr="001A2BD1">
              <w:rPr>
                <w:rFonts w:ascii="Garamond" w:hAnsi="Garamond"/>
                <w:sz w:val="24"/>
                <w:szCs w:val="24"/>
                <w:lang w:val="en-US"/>
              </w:rPr>
              <w:t xml:space="preserve">f </w:t>
            </w:r>
            <w:r w:rsidR="002B3B33">
              <w:rPr>
                <w:rFonts w:ascii="Garamond" w:hAnsi="Garamond"/>
                <w:sz w:val="24"/>
                <w:szCs w:val="24"/>
                <w:lang w:val="en-US"/>
              </w:rPr>
              <w:t xml:space="preserve">the </w:t>
            </w:r>
            <w:r w:rsidR="002B3B33" w:rsidRPr="001A2BD1">
              <w:rPr>
                <w:rFonts w:ascii="Garamond" w:hAnsi="Garamond"/>
                <w:sz w:val="24"/>
                <w:szCs w:val="24"/>
                <w:lang w:val="en-US"/>
              </w:rPr>
              <w:t>PRAG</w:t>
            </w:r>
            <w:r w:rsidR="00E24705" w:rsidRPr="001A2BD1">
              <w:rPr>
                <w:rFonts w:ascii="Garamond" w:hAnsi="Garamond"/>
                <w:sz w:val="24"/>
                <w:szCs w:val="24"/>
                <w:lang w:val="en-US"/>
              </w:rPr>
              <w:t>.</w:t>
            </w:r>
          </w:p>
          <w:p w14:paraId="45077494" w14:textId="77777777" w:rsidR="001A2BD1" w:rsidRPr="001A2BD1" w:rsidRDefault="001A2BD1" w:rsidP="000308CE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14:paraId="29926CAF" w14:textId="77777777" w:rsidR="003532D4" w:rsidRDefault="003532D4" w:rsidP="003532D4">
            <w:pPr>
              <w:jc w:val="both"/>
              <w:rPr>
                <w:rFonts w:ascii="Garamond" w:hAnsi="Garamond"/>
                <w:b/>
                <w:i/>
                <w:sz w:val="24"/>
                <w:szCs w:val="24"/>
                <w:lang w:val="en-US"/>
              </w:rPr>
            </w:pPr>
            <w:r w:rsidRPr="00166CBE">
              <w:rPr>
                <w:rFonts w:ascii="Garamond" w:hAnsi="Garamond"/>
                <w:b/>
                <w:i/>
                <w:sz w:val="24"/>
                <w:szCs w:val="24"/>
                <w:lang w:val="en-US"/>
              </w:rPr>
              <w:t>!!! This scenario is to be followed even though some of the invited candidates may not submit offers.</w:t>
            </w:r>
          </w:p>
          <w:p w14:paraId="4A101CC5" w14:textId="3F408746" w:rsidR="0069100A" w:rsidRPr="00EB22A7" w:rsidRDefault="0069100A">
            <w:pPr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</w:p>
        </w:tc>
      </w:tr>
    </w:tbl>
    <w:p w14:paraId="31E75239" w14:textId="77777777" w:rsidR="005A09F5" w:rsidRPr="001A2BD1" w:rsidRDefault="005A09F5">
      <w:pPr>
        <w:rPr>
          <w:rFonts w:ascii="Garamond" w:hAnsi="Garamond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B52A3" w:rsidRPr="001A2BD1" w14:paraId="418CB22E" w14:textId="77777777" w:rsidTr="005B10D0">
        <w:tc>
          <w:tcPr>
            <w:tcW w:w="9072" w:type="dxa"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5DCE4" w:themeFill="text2" w:themeFillTint="33"/>
          </w:tcPr>
          <w:p w14:paraId="124A257C" w14:textId="619E22B1" w:rsidR="008B52A3" w:rsidRPr="00166CBE" w:rsidRDefault="001F6E4E">
            <w:pPr>
              <w:jc w:val="both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166CBE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In </w:t>
            </w:r>
            <w:r w:rsidR="00CF4AD7" w:rsidRPr="00166CBE">
              <w:rPr>
                <w:rFonts w:ascii="Garamond" w:hAnsi="Garamond"/>
                <w:b/>
                <w:sz w:val="24"/>
                <w:szCs w:val="24"/>
                <w:lang w:val="en-US"/>
              </w:rPr>
              <w:t>all</w:t>
            </w:r>
            <w:r w:rsidR="001F2C5D" w:rsidRPr="00166CBE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 </w:t>
            </w:r>
            <w:r w:rsidRPr="00166CBE">
              <w:rPr>
                <w:rFonts w:ascii="Garamond" w:hAnsi="Garamond"/>
                <w:b/>
                <w:sz w:val="24"/>
                <w:szCs w:val="24"/>
                <w:lang w:val="en-US"/>
              </w:rPr>
              <w:t>case</w:t>
            </w:r>
            <w:r w:rsidR="00E24705" w:rsidRPr="00166CBE">
              <w:rPr>
                <w:rFonts w:ascii="Garamond" w:hAnsi="Garamond"/>
                <w:b/>
                <w:sz w:val="24"/>
                <w:szCs w:val="24"/>
                <w:lang w:val="en-US"/>
              </w:rPr>
              <w:t>s</w:t>
            </w:r>
            <w:r w:rsidR="00962B42">
              <w:rPr>
                <w:rFonts w:ascii="Garamond" w:hAnsi="Garamond"/>
                <w:b/>
                <w:sz w:val="24"/>
                <w:szCs w:val="24"/>
                <w:lang w:val="en-US"/>
              </w:rPr>
              <w:t>,</w:t>
            </w:r>
            <w:r w:rsidRPr="00166CBE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 the respective conclusions</w:t>
            </w:r>
            <w:r w:rsidR="00962B42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 from the evaluation </w:t>
            </w:r>
            <w:r w:rsidR="002B3B33">
              <w:rPr>
                <w:rFonts w:ascii="Garamond" w:hAnsi="Garamond"/>
                <w:b/>
                <w:sz w:val="24"/>
                <w:szCs w:val="24"/>
                <w:lang w:val="en-US"/>
              </w:rPr>
              <w:t>process</w:t>
            </w:r>
            <w:r w:rsidRPr="00166CBE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 (compliant/ not compliant) </w:t>
            </w:r>
            <w:r w:rsidR="00340D35" w:rsidRPr="00166CBE">
              <w:rPr>
                <w:rFonts w:ascii="Garamond" w:hAnsi="Garamond"/>
                <w:b/>
                <w:sz w:val="24"/>
                <w:szCs w:val="24"/>
                <w:lang w:val="en-US"/>
              </w:rPr>
              <w:t>must</w:t>
            </w:r>
            <w:r w:rsidRPr="00166CBE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 be justified </w:t>
            </w:r>
            <w:r w:rsidR="002B3B33" w:rsidRPr="00166CBE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by the </w:t>
            </w:r>
            <w:r w:rsidR="002B3B33">
              <w:rPr>
                <w:rFonts w:ascii="Garamond" w:hAnsi="Garamond"/>
                <w:b/>
                <w:sz w:val="24"/>
                <w:szCs w:val="24"/>
                <w:lang w:val="en-US"/>
              </w:rPr>
              <w:t>Evaluation committee</w:t>
            </w:r>
            <w:r w:rsidR="002B3B33" w:rsidRPr="00166CBE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 </w:t>
            </w:r>
            <w:r w:rsidRPr="00166CBE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in </w:t>
            </w:r>
            <w:r w:rsidR="00340D35" w:rsidRPr="00166CBE">
              <w:rPr>
                <w:rFonts w:ascii="Garamond" w:hAnsi="Garamond"/>
                <w:b/>
                <w:sz w:val="24"/>
                <w:szCs w:val="24"/>
                <w:lang w:val="en-US"/>
              </w:rPr>
              <w:t>the</w:t>
            </w:r>
            <w:r w:rsidRPr="00166CBE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 </w:t>
            </w:r>
            <w:r w:rsidR="00962B42" w:rsidRPr="00962B42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Negotiation report for single tenders, </w:t>
            </w:r>
            <w:r w:rsidR="002B3B33">
              <w:rPr>
                <w:rFonts w:ascii="Garamond" w:hAnsi="Garamond"/>
                <w:b/>
                <w:sz w:val="24"/>
                <w:szCs w:val="24"/>
                <w:lang w:val="en-US"/>
              </w:rPr>
              <w:t>A</w:t>
            </w:r>
            <w:r w:rsidR="002B3B33" w:rsidRPr="00962B42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nnex </w:t>
            </w:r>
            <w:r w:rsidR="00962B42" w:rsidRPr="00962B42">
              <w:rPr>
                <w:rFonts w:ascii="Garamond" w:hAnsi="Garamond"/>
                <w:b/>
                <w:sz w:val="24"/>
                <w:szCs w:val="24"/>
                <w:lang w:val="en-US"/>
              </w:rPr>
              <w:t>A10b</w:t>
            </w:r>
            <w:r w:rsidR="00962B42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 </w:t>
            </w:r>
            <w:r w:rsidR="00962B42" w:rsidRPr="00962B42">
              <w:rPr>
                <w:rFonts w:ascii="Garamond" w:hAnsi="Garamond"/>
                <w:b/>
                <w:sz w:val="24"/>
                <w:szCs w:val="24"/>
                <w:lang w:val="en-US"/>
              </w:rPr>
              <w:t>of the PRAG</w:t>
            </w:r>
            <w:r w:rsidRPr="00166CBE">
              <w:rPr>
                <w:rFonts w:ascii="Garamond" w:hAnsi="Garamond"/>
                <w:b/>
                <w:sz w:val="24"/>
                <w:szCs w:val="24"/>
                <w:lang w:val="en-US"/>
              </w:rPr>
              <w:t>.</w:t>
            </w:r>
            <w:r w:rsidR="00D5676D" w:rsidRPr="00166CBE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 </w:t>
            </w:r>
            <w:r w:rsidRPr="00166CBE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   </w:t>
            </w:r>
          </w:p>
        </w:tc>
      </w:tr>
    </w:tbl>
    <w:p w14:paraId="4CD0814D" w14:textId="77777777" w:rsidR="005B10D0" w:rsidRDefault="005B10D0" w:rsidP="00166CBE">
      <w:pPr>
        <w:jc w:val="both"/>
        <w:rPr>
          <w:rFonts w:ascii="Garamond" w:hAnsi="Garamond"/>
          <w:b/>
          <w:i/>
          <w:sz w:val="28"/>
          <w:lang w:val="en-US"/>
        </w:rPr>
      </w:pPr>
    </w:p>
    <w:p w14:paraId="75FD5710" w14:textId="77777777" w:rsidR="0030085A" w:rsidRPr="00166CBE" w:rsidRDefault="00AC5B53" w:rsidP="00166CBE">
      <w:pPr>
        <w:jc w:val="both"/>
        <w:rPr>
          <w:rFonts w:ascii="Garamond" w:hAnsi="Garamond"/>
          <w:i/>
          <w:sz w:val="28"/>
          <w:lang w:val="en-US"/>
        </w:rPr>
      </w:pPr>
      <w:r w:rsidRPr="00166CBE">
        <w:rPr>
          <w:rFonts w:ascii="Garamond" w:hAnsi="Garamond"/>
          <w:b/>
          <w:i/>
          <w:sz w:val="28"/>
          <w:lang w:val="en-US"/>
        </w:rPr>
        <w:t xml:space="preserve">Table 1 – Templates </w:t>
      </w:r>
      <w:r w:rsidR="00606B66">
        <w:rPr>
          <w:rFonts w:ascii="Garamond" w:hAnsi="Garamond"/>
          <w:b/>
          <w:i/>
          <w:sz w:val="28"/>
          <w:lang w:val="en-US"/>
        </w:rPr>
        <w:t>for</w:t>
      </w:r>
      <w:r w:rsidRPr="00166CBE">
        <w:rPr>
          <w:rFonts w:ascii="Garamond" w:hAnsi="Garamond"/>
          <w:b/>
          <w:i/>
          <w:sz w:val="28"/>
          <w:lang w:val="en-US"/>
        </w:rPr>
        <w:t xml:space="preserve"> Single Tender Procedures</w:t>
      </w:r>
      <w:r w:rsidR="00E24705" w:rsidRPr="00166CBE">
        <w:rPr>
          <w:rFonts w:ascii="Garamond" w:hAnsi="Garamond"/>
          <w:i/>
          <w:sz w:val="28"/>
          <w:lang w:val="en-US"/>
        </w:rPr>
        <w:t xml:space="preserve"> </w:t>
      </w:r>
      <w:r w:rsidR="009B666B">
        <w:rPr>
          <w:rFonts w:ascii="Garamond" w:hAnsi="Garamond"/>
          <w:i/>
          <w:sz w:val="28"/>
          <w:lang w:val="en-US"/>
        </w:rPr>
        <w:t>(</w:t>
      </w:r>
      <w:r w:rsidR="00E24705" w:rsidRPr="00166CBE">
        <w:rPr>
          <w:rFonts w:ascii="Garamond" w:hAnsi="Garamond"/>
          <w:i/>
          <w:sz w:val="28"/>
          <w:lang w:val="en-US"/>
        </w:rPr>
        <w:t xml:space="preserve">minimal </w:t>
      </w:r>
      <w:r w:rsidR="00DD24E5" w:rsidRPr="00166CBE">
        <w:rPr>
          <w:rFonts w:ascii="Garamond" w:hAnsi="Garamond"/>
          <w:i/>
          <w:sz w:val="28"/>
          <w:lang w:val="en-US"/>
        </w:rPr>
        <w:t>set</w:t>
      </w:r>
      <w:r w:rsidR="00E24705" w:rsidRPr="00166CBE">
        <w:rPr>
          <w:rFonts w:ascii="Garamond" w:hAnsi="Garamond"/>
          <w:i/>
          <w:sz w:val="28"/>
          <w:lang w:val="en-US"/>
        </w:rPr>
        <w:t xml:space="preserve"> of documents</w:t>
      </w:r>
      <w:r w:rsidR="00DD5E60" w:rsidRPr="00166CBE">
        <w:rPr>
          <w:rFonts w:ascii="Garamond" w:hAnsi="Garamond"/>
          <w:i/>
          <w:sz w:val="28"/>
          <w:lang w:val="en-US"/>
        </w:rPr>
        <w:t xml:space="preserve"> </w:t>
      </w:r>
      <w:r w:rsidR="00166CBE" w:rsidRPr="00166CBE">
        <w:rPr>
          <w:rFonts w:ascii="Garamond" w:hAnsi="Garamond"/>
          <w:i/>
          <w:sz w:val="28"/>
          <w:lang w:val="en-US"/>
        </w:rPr>
        <w:t>recommended</w:t>
      </w:r>
      <w:r w:rsidR="009B666B">
        <w:rPr>
          <w:rFonts w:ascii="Garamond" w:hAnsi="Garamond"/>
          <w:i/>
          <w:sz w:val="28"/>
          <w:lang w:val="en-US"/>
        </w:rPr>
        <w:t>)</w:t>
      </w:r>
    </w:p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9"/>
        <w:gridCol w:w="2239"/>
        <w:gridCol w:w="2268"/>
        <w:gridCol w:w="2268"/>
      </w:tblGrid>
      <w:tr w:rsidR="00D72099" w:rsidRPr="001A2BD1" w14:paraId="4D66D9CA" w14:textId="77777777" w:rsidTr="00166CBE">
        <w:trPr>
          <w:trHeight w:val="502"/>
        </w:trPr>
        <w:tc>
          <w:tcPr>
            <w:tcW w:w="9214" w:type="dxa"/>
            <w:gridSpan w:val="5"/>
            <w:shd w:val="clear" w:color="auto" w:fill="ACB9CA" w:themeFill="text2" w:themeFillTint="66"/>
          </w:tcPr>
          <w:p w14:paraId="1301F6D4" w14:textId="77777777" w:rsidR="00D72099" w:rsidRPr="001A2BD1" w:rsidRDefault="00D72099" w:rsidP="00B716F1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1A2BD1">
              <w:rPr>
                <w:rFonts w:ascii="Garamond" w:hAnsi="Garamond"/>
                <w:b/>
                <w:color w:val="FFFFFF" w:themeColor="background1"/>
                <w:sz w:val="32"/>
                <w:lang w:val="en-US"/>
              </w:rPr>
              <w:t>SERVICES</w:t>
            </w:r>
          </w:p>
        </w:tc>
      </w:tr>
      <w:tr w:rsidR="00D72099" w:rsidRPr="001A2BD1" w14:paraId="73B9A50E" w14:textId="77777777" w:rsidTr="00166CBE">
        <w:tc>
          <w:tcPr>
            <w:tcW w:w="4678" w:type="dxa"/>
            <w:gridSpan w:val="3"/>
            <w:shd w:val="clear" w:color="auto" w:fill="BDD6EE" w:themeFill="accent1" w:themeFillTint="66"/>
          </w:tcPr>
          <w:p w14:paraId="7DBDEBC0" w14:textId="77777777" w:rsidR="00D72099" w:rsidRPr="001A2BD1" w:rsidRDefault="00D72099" w:rsidP="00860521">
            <w:pPr>
              <w:jc w:val="center"/>
              <w:rPr>
                <w:rFonts w:ascii="Garamond" w:hAnsi="Garamond"/>
                <w:sz w:val="30"/>
                <w:szCs w:val="30"/>
                <w:lang w:val="en-US"/>
              </w:rPr>
            </w:pPr>
            <w:r w:rsidRPr="001A2BD1">
              <w:rPr>
                <w:rFonts w:ascii="Garamond" w:hAnsi="Garamond"/>
                <w:b/>
                <w:sz w:val="30"/>
                <w:szCs w:val="30"/>
                <w:lang w:val="en-US"/>
              </w:rPr>
              <w:lastRenderedPageBreak/>
              <w:t>One tenderer invited</w:t>
            </w:r>
          </w:p>
        </w:tc>
        <w:tc>
          <w:tcPr>
            <w:tcW w:w="4536" w:type="dxa"/>
            <w:gridSpan w:val="2"/>
            <w:shd w:val="clear" w:color="auto" w:fill="E2EFD9" w:themeFill="accent6" w:themeFillTint="33"/>
          </w:tcPr>
          <w:p w14:paraId="7A0A2EFD" w14:textId="77777777" w:rsidR="00D72099" w:rsidRPr="001A2BD1" w:rsidRDefault="00D72099" w:rsidP="00860521">
            <w:pPr>
              <w:jc w:val="center"/>
              <w:rPr>
                <w:rFonts w:ascii="Garamond" w:hAnsi="Garamond"/>
                <w:sz w:val="30"/>
                <w:szCs w:val="30"/>
                <w:lang w:val="en-US"/>
              </w:rPr>
            </w:pPr>
            <w:r w:rsidRPr="001A2BD1">
              <w:rPr>
                <w:rFonts w:ascii="Garamond" w:hAnsi="Garamond"/>
                <w:b/>
                <w:sz w:val="30"/>
                <w:szCs w:val="30"/>
                <w:lang w:val="en-US"/>
              </w:rPr>
              <w:t>More than one tenderer invited</w:t>
            </w:r>
          </w:p>
        </w:tc>
      </w:tr>
      <w:tr w:rsidR="008D3CBB" w:rsidRPr="001A2BD1" w14:paraId="3B75F1D2" w14:textId="77777777" w:rsidTr="00166CBE">
        <w:trPr>
          <w:trHeight w:val="364"/>
        </w:trPr>
        <w:tc>
          <w:tcPr>
            <w:tcW w:w="4678" w:type="dxa"/>
            <w:gridSpan w:val="3"/>
            <w:shd w:val="clear" w:color="auto" w:fill="BDD6EE" w:themeFill="accent1" w:themeFillTint="66"/>
          </w:tcPr>
          <w:p w14:paraId="33FE01BF" w14:textId="77777777" w:rsidR="008D3CBB" w:rsidRPr="001A2BD1" w:rsidRDefault="008D3CBB" w:rsidP="00DF5CC6">
            <w:pPr>
              <w:jc w:val="center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  <w:r w:rsidRPr="001A2BD1">
              <w:rPr>
                <w:rFonts w:ascii="Garamond" w:hAnsi="Garamond"/>
                <w:b/>
                <w:sz w:val="28"/>
                <w:szCs w:val="28"/>
                <w:lang w:val="en-US"/>
              </w:rPr>
              <w:t>Templates:</w:t>
            </w:r>
          </w:p>
        </w:tc>
        <w:tc>
          <w:tcPr>
            <w:tcW w:w="4536" w:type="dxa"/>
            <w:gridSpan w:val="2"/>
            <w:shd w:val="clear" w:color="auto" w:fill="E2EFD9" w:themeFill="accent6" w:themeFillTint="33"/>
          </w:tcPr>
          <w:p w14:paraId="3295D960" w14:textId="77777777" w:rsidR="008D3CBB" w:rsidRPr="001A2BD1" w:rsidRDefault="008D3CBB" w:rsidP="00860521">
            <w:pPr>
              <w:jc w:val="center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  <w:r w:rsidRPr="001A2BD1">
              <w:rPr>
                <w:rFonts w:ascii="Garamond" w:hAnsi="Garamond"/>
                <w:b/>
                <w:sz w:val="28"/>
                <w:szCs w:val="28"/>
                <w:lang w:val="en-US"/>
              </w:rPr>
              <w:t>Templates:</w:t>
            </w:r>
          </w:p>
          <w:p w14:paraId="39C0FB50" w14:textId="77777777" w:rsidR="008D3CBB" w:rsidRPr="001A2BD1" w:rsidRDefault="008D3CBB" w:rsidP="00860521">
            <w:pPr>
              <w:jc w:val="center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</w:p>
        </w:tc>
      </w:tr>
      <w:tr w:rsidR="008D3CBB" w:rsidRPr="001A2BD1" w14:paraId="7198DAC5" w14:textId="77777777" w:rsidTr="00166CBE">
        <w:tc>
          <w:tcPr>
            <w:tcW w:w="4678" w:type="dxa"/>
            <w:gridSpan w:val="3"/>
            <w:shd w:val="clear" w:color="auto" w:fill="BDD6EE" w:themeFill="accent1" w:themeFillTint="66"/>
          </w:tcPr>
          <w:p w14:paraId="36CAE340" w14:textId="77777777" w:rsidR="008D3CBB" w:rsidRPr="001A2BD1" w:rsidRDefault="008D3CBB" w:rsidP="00DF5CC6">
            <w:pPr>
              <w:jc w:val="center"/>
              <w:rPr>
                <w:rFonts w:ascii="Garamond" w:hAnsi="Garamond"/>
                <w:lang w:val="en-US"/>
              </w:rPr>
            </w:pPr>
            <w:r w:rsidRPr="001A2BD1">
              <w:rPr>
                <w:rFonts w:ascii="Garamond" w:hAnsi="Garamond"/>
                <w:b/>
                <w:lang w:val="en-US"/>
              </w:rPr>
              <w:t>PIM + PRAG</w:t>
            </w:r>
          </w:p>
        </w:tc>
        <w:tc>
          <w:tcPr>
            <w:tcW w:w="4536" w:type="dxa"/>
            <w:gridSpan w:val="2"/>
            <w:shd w:val="clear" w:color="auto" w:fill="E2EFD9" w:themeFill="accent6" w:themeFillTint="33"/>
          </w:tcPr>
          <w:p w14:paraId="207CDF8D" w14:textId="77777777" w:rsidR="008D3CBB" w:rsidRPr="001A2BD1" w:rsidRDefault="008D3CBB" w:rsidP="00DF5CC6">
            <w:pPr>
              <w:jc w:val="center"/>
              <w:rPr>
                <w:rFonts w:ascii="Garamond" w:hAnsi="Garamond"/>
                <w:lang w:val="en-US"/>
              </w:rPr>
            </w:pPr>
            <w:r w:rsidRPr="001A2BD1">
              <w:rPr>
                <w:rFonts w:ascii="Garamond" w:hAnsi="Garamond"/>
                <w:b/>
                <w:lang w:val="en-US"/>
              </w:rPr>
              <w:t>PRAG</w:t>
            </w:r>
          </w:p>
        </w:tc>
      </w:tr>
      <w:tr w:rsidR="0016380F" w:rsidRPr="001A2BD1" w14:paraId="74E90502" w14:textId="77777777" w:rsidTr="00166CBE">
        <w:tc>
          <w:tcPr>
            <w:tcW w:w="9214" w:type="dxa"/>
            <w:gridSpan w:val="5"/>
            <w:shd w:val="clear" w:color="auto" w:fill="D0CECE" w:themeFill="background2" w:themeFillShade="E6"/>
          </w:tcPr>
          <w:p w14:paraId="100D9A66" w14:textId="77777777" w:rsidR="0016380F" w:rsidRPr="00166CBE" w:rsidRDefault="0016380F" w:rsidP="00DF5CC6">
            <w:pPr>
              <w:jc w:val="center"/>
              <w:rPr>
                <w:rFonts w:ascii="Garamond" w:hAnsi="Garamond"/>
                <w:i/>
                <w:lang w:val="en-US"/>
              </w:rPr>
            </w:pPr>
            <w:r w:rsidRPr="00166CBE">
              <w:rPr>
                <w:rFonts w:ascii="Garamond" w:hAnsi="Garamond"/>
                <w:b/>
                <w:i/>
                <w:sz w:val="28"/>
                <w:szCs w:val="28"/>
                <w:lang w:val="en-US"/>
              </w:rPr>
              <w:t>Tender dossier</w:t>
            </w:r>
          </w:p>
        </w:tc>
      </w:tr>
      <w:tr w:rsidR="00296B65" w:rsidRPr="001A2BD1" w14:paraId="2F117111" w14:textId="77777777" w:rsidTr="00166CBE">
        <w:tc>
          <w:tcPr>
            <w:tcW w:w="2439" w:type="dxa"/>
            <w:gridSpan w:val="2"/>
            <w:shd w:val="clear" w:color="auto" w:fill="BDD6EE" w:themeFill="accent1" w:themeFillTint="66"/>
          </w:tcPr>
          <w:p w14:paraId="2A720248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166CBE">
              <w:rPr>
                <w:rFonts w:ascii="Garamond" w:hAnsi="Garamond"/>
                <w:b/>
                <w:lang w:val="en-US"/>
              </w:rPr>
              <w:t>Invitation to Tender -</w:t>
            </w:r>
          </w:p>
        </w:tc>
        <w:tc>
          <w:tcPr>
            <w:tcW w:w="2239" w:type="dxa"/>
          </w:tcPr>
          <w:p w14:paraId="72CE5500" w14:textId="77777777" w:rsidR="00296B65" w:rsidRPr="00AC6AFB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AC6AFB">
              <w:rPr>
                <w:rFonts w:ascii="Garamond" w:hAnsi="Garamond"/>
                <w:i/>
                <w:sz w:val="20"/>
                <w:szCs w:val="20"/>
                <w:lang w:val="en-US"/>
              </w:rPr>
              <w:t>PRAG, Annex b8o4_invit_simp_en.doc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09FE0D3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166CBE">
              <w:rPr>
                <w:rFonts w:ascii="Garamond" w:hAnsi="Garamond"/>
                <w:b/>
                <w:lang w:val="en-US"/>
              </w:rPr>
              <w:t xml:space="preserve">Invitation to Tender </w:t>
            </w:r>
          </w:p>
        </w:tc>
        <w:tc>
          <w:tcPr>
            <w:tcW w:w="2268" w:type="dxa"/>
          </w:tcPr>
          <w:p w14:paraId="4080FA5C" w14:textId="77777777" w:rsidR="00296B65" w:rsidRPr="005B10D0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>PRAG, Annex b8o4_invit_simp_en.doc</w:t>
            </w:r>
          </w:p>
        </w:tc>
      </w:tr>
      <w:tr w:rsidR="00296B65" w:rsidRPr="001A2BD1" w14:paraId="5715C302" w14:textId="77777777" w:rsidTr="00166CBE">
        <w:tc>
          <w:tcPr>
            <w:tcW w:w="2439" w:type="dxa"/>
            <w:gridSpan w:val="2"/>
            <w:vMerge w:val="restart"/>
            <w:shd w:val="clear" w:color="auto" w:fill="BDD6EE" w:themeFill="accent1" w:themeFillTint="66"/>
          </w:tcPr>
          <w:p w14:paraId="4B2B6441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166CBE">
              <w:rPr>
                <w:rFonts w:ascii="Garamond" w:hAnsi="Garamond"/>
                <w:b/>
                <w:lang w:val="en-US"/>
              </w:rPr>
              <w:t>Instructions to tenderers</w:t>
            </w:r>
          </w:p>
          <w:p w14:paraId="5AB1EB9A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</w:p>
        </w:tc>
        <w:tc>
          <w:tcPr>
            <w:tcW w:w="2239" w:type="dxa"/>
            <w:vMerge w:val="restart"/>
          </w:tcPr>
          <w:p w14:paraId="76A8528D" w14:textId="77777777" w:rsidR="00296B65" w:rsidRPr="00AC6AFB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AC6AFB">
              <w:rPr>
                <w:rFonts w:ascii="Garamond" w:hAnsi="Garamond"/>
                <w:i/>
                <w:sz w:val="20"/>
                <w:szCs w:val="20"/>
                <w:lang w:val="en-US"/>
              </w:rPr>
              <w:t>PIM, Annex 14.1.1.1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273E2BC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166CBE">
              <w:rPr>
                <w:rFonts w:ascii="Garamond" w:hAnsi="Garamond"/>
                <w:b/>
                <w:lang w:val="en-US"/>
              </w:rPr>
              <w:t>Instructions to Tenderers</w:t>
            </w:r>
          </w:p>
        </w:tc>
        <w:tc>
          <w:tcPr>
            <w:tcW w:w="2268" w:type="dxa"/>
          </w:tcPr>
          <w:p w14:paraId="22CE1559" w14:textId="77777777" w:rsidR="00296B65" w:rsidRPr="005B10D0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>PRAG, Annex b8o5_itt_simp_en.doc</w:t>
            </w:r>
          </w:p>
        </w:tc>
      </w:tr>
      <w:tr w:rsidR="00296B65" w:rsidRPr="001A2BD1" w14:paraId="6693856B" w14:textId="77777777" w:rsidTr="00166CBE">
        <w:tc>
          <w:tcPr>
            <w:tcW w:w="2439" w:type="dxa"/>
            <w:gridSpan w:val="2"/>
            <w:vMerge/>
            <w:shd w:val="clear" w:color="auto" w:fill="BDD6EE" w:themeFill="accent1" w:themeFillTint="66"/>
          </w:tcPr>
          <w:p w14:paraId="78E70F18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</w:p>
        </w:tc>
        <w:tc>
          <w:tcPr>
            <w:tcW w:w="2239" w:type="dxa"/>
            <w:vMerge/>
          </w:tcPr>
          <w:p w14:paraId="533B1716" w14:textId="77777777" w:rsidR="00296B65" w:rsidRPr="00AC6AFB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1CF17B24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>
              <w:rPr>
                <w:rFonts w:ascii="Garamond" w:hAnsi="Garamond"/>
                <w:b/>
                <w:lang w:val="en-US"/>
              </w:rPr>
              <w:t>Contract notice</w:t>
            </w:r>
          </w:p>
        </w:tc>
        <w:tc>
          <w:tcPr>
            <w:tcW w:w="2268" w:type="dxa"/>
          </w:tcPr>
          <w:p w14:paraId="770DC6E0" w14:textId="77777777" w:rsidR="00296B65" w:rsidRPr="005B10D0" w:rsidRDefault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PRAG, Annex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8o3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Contract notice</w:t>
            </w:r>
            <w:r w:rsidRPr="00606B66" w:rsidDel="00296B65"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296B65" w:rsidRPr="001A2BD1" w14:paraId="239010E8" w14:textId="77777777" w:rsidTr="00166CBE">
        <w:tc>
          <w:tcPr>
            <w:tcW w:w="2439" w:type="dxa"/>
            <w:gridSpan w:val="2"/>
            <w:shd w:val="clear" w:color="auto" w:fill="BDD6EE" w:themeFill="accent1" w:themeFillTint="66"/>
          </w:tcPr>
          <w:p w14:paraId="4472586D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166CBE">
              <w:rPr>
                <w:rFonts w:ascii="Garamond" w:hAnsi="Garamond"/>
                <w:b/>
                <w:lang w:val="en-US"/>
              </w:rPr>
              <w:t>Draft contract</w:t>
            </w:r>
          </w:p>
        </w:tc>
        <w:tc>
          <w:tcPr>
            <w:tcW w:w="2239" w:type="dxa"/>
          </w:tcPr>
          <w:p w14:paraId="71B71F6B" w14:textId="77777777" w:rsidR="00296B65" w:rsidRPr="00AC6AFB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AC6AFB">
              <w:rPr>
                <w:rFonts w:ascii="Garamond" w:hAnsi="Garamond"/>
                <w:i/>
                <w:sz w:val="20"/>
                <w:szCs w:val="20"/>
                <w:lang w:val="en-US"/>
              </w:rPr>
              <w:t>PIM, Annex 14.1.1.3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93D3333" w14:textId="77777777" w:rsidR="00296B65" w:rsidRPr="00166CBE" w:rsidRDefault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296B65">
              <w:rPr>
                <w:rFonts w:ascii="Garamond" w:hAnsi="Garamond"/>
                <w:b/>
                <w:lang w:val="en-US"/>
              </w:rPr>
              <w:t>Terms of Reference</w:t>
            </w:r>
          </w:p>
        </w:tc>
        <w:tc>
          <w:tcPr>
            <w:tcW w:w="2268" w:type="dxa"/>
          </w:tcPr>
          <w:p w14:paraId="5BE1F195" w14:textId="77777777" w:rsidR="00606B66" w:rsidRDefault="00606B66" w:rsidP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>PRAG, Annex</w:t>
            </w: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B8e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ab/>
              <w:t>Draft contract: Terms of reference Fee-based (Annex II)</w:t>
            </w: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</w:p>
          <w:p w14:paraId="05FDDAF7" w14:textId="77777777" w:rsidR="00606B66" w:rsidRPr="00606B66" w:rsidRDefault="00606B66" w:rsidP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or </w:t>
            </w:r>
          </w:p>
          <w:p w14:paraId="76C5F68A" w14:textId="77777777" w:rsidR="00296B65" w:rsidRPr="005B10D0" w:rsidRDefault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B8f</w:t>
            </w: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Draft contract: Terms of reference Global (Annex II)</w:t>
            </w:r>
          </w:p>
        </w:tc>
      </w:tr>
      <w:tr w:rsidR="00296B65" w:rsidRPr="001A2BD1" w14:paraId="0B9879EB" w14:textId="77777777" w:rsidTr="00166CBE">
        <w:tc>
          <w:tcPr>
            <w:tcW w:w="2439" w:type="dxa"/>
            <w:gridSpan w:val="2"/>
            <w:shd w:val="clear" w:color="auto" w:fill="BDD6EE" w:themeFill="accent1" w:themeFillTint="66"/>
          </w:tcPr>
          <w:p w14:paraId="68E56906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</w:p>
        </w:tc>
        <w:tc>
          <w:tcPr>
            <w:tcW w:w="2239" w:type="dxa"/>
          </w:tcPr>
          <w:p w14:paraId="43FAF5BA" w14:textId="77777777" w:rsidR="00296B65" w:rsidRPr="00AC6AFB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0DB1C5A7" w14:textId="77777777" w:rsidR="00296B65" w:rsidRPr="00166CBE" w:rsidRDefault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proofErr w:type="spellStart"/>
            <w:r w:rsidRPr="00296B65">
              <w:rPr>
                <w:rFonts w:ascii="Garamond" w:hAnsi="Garamond"/>
                <w:b/>
                <w:lang w:val="en-US"/>
              </w:rPr>
              <w:t>Organisation</w:t>
            </w:r>
            <w:proofErr w:type="spellEnd"/>
            <w:r w:rsidRPr="00296B65">
              <w:rPr>
                <w:rFonts w:ascii="Garamond" w:hAnsi="Garamond"/>
                <w:b/>
                <w:lang w:val="en-US"/>
              </w:rPr>
              <w:t xml:space="preserve"> and Methodology (to be submitted by the tenderer using the template provided)</w:t>
            </w:r>
          </w:p>
        </w:tc>
        <w:tc>
          <w:tcPr>
            <w:tcW w:w="2268" w:type="dxa"/>
          </w:tcPr>
          <w:p w14:paraId="77F84C6A" w14:textId="77777777" w:rsidR="00296B65" w:rsidRPr="005B10D0" w:rsidRDefault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>PRAG, Annex</w:t>
            </w:r>
            <w:r>
              <w:t xml:space="preserve">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B8g</w:t>
            </w: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Draft contract: </w:t>
            </w:r>
            <w:proofErr w:type="spellStart"/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Organisation</w:t>
            </w:r>
            <w:proofErr w:type="spellEnd"/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&amp; methodology (Annex III)</w:t>
            </w:r>
          </w:p>
        </w:tc>
      </w:tr>
      <w:tr w:rsidR="00296B65" w:rsidRPr="001A2BD1" w14:paraId="35E7DCA3" w14:textId="77777777" w:rsidTr="00166CBE">
        <w:tc>
          <w:tcPr>
            <w:tcW w:w="2439" w:type="dxa"/>
            <w:gridSpan w:val="2"/>
            <w:shd w:val="clear" w:color="auto" w:fill="BDD6EE" w:themeFill="accent1" w:themeFillTint="66"/>
          </w:tcPr>
          <w:p w14:paraId="7389E623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</w:p>
        </w:tc>
        <w:tc>
          <w:tcPr>
            <w:tcW w:w="2239" w:type="dxa"/>
          </w:tcPr>
          <w:p w14:paraId="0C4ECEA5" w14:textId="77777777" w:rsidR="00296B65" w:rsidRPr="00AC6AFB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465A4238" w14:textId="77777777" w:rsidR="00296B65" w:rsidRPr="00166CBE" w:rsidRDefault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296B65">
              <w:rPr>
                <w:rFonts w:ascii="Garamond" w:hAnsi="Garamond"/>
                <w:b/>
                <w:lang w:val="en-US"/>
              </w:rPr>
              <w:t>Key experts (including templates for the summary list of key experts and their CVs) (For contracts requiring key experts)</w:t>
            </w:r>
          </w:p>
        </w:tc>
        <w:tc>
          <w:tcPr>
            <w:tcW w:w="2268" w:type="dxa"/>
          </w:tcPr>
          <w:p w14:paraId="0FAB339E" w14:textId="77777777" w:rsidR="00296B65" w:rsidRPr="005B10D0" w:rsidRDefault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>PRAG, Annex</w:t>
            </w: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B8h</w:t>
            </w: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Draft contract: List and CVs of key experts (Annex IV)</w:t>
            </w:r>
          </w:p>
        </w:tc>
      </w:tr>
      <w:tr w:rsidR="00296B65" w:rsidRPr="001A2BD1" w14:paraId="2B550051" w14:textId="77777777" w:rsidTr="00166CBE">
        <w:tc>
          <w:tcPr>
            <w:tcW w:w="2439" w:type="dxa"/>
            <w:gridSpan w:val="2"/>
            <w:shd w:val="clear" w:color="auto" w:fill="BDD6EE" w:themeFill="accent1" w:themeFillTint="66"/>
          </w:tcPr>
          <w:p w14:paraId="1B082173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</w:p>
        </w:tc>
        <w:tc>
          <w:tcPr>
            <w:tcW w:w="2239" w:type="dxa"/>
          </w:tcPr>
          <w:p w14:paraId="21F7F027" w14:textId="77777777" w:rsidR="00296B65" w:rsidRPr="00AC6AFB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3FC4C48F" w14:textId="77777777" w:rsidR="00296B65" w:rsidRPr="00166CBE" w:rsidRDefault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296B65">
              <w:rPr>
                <w:rFonts w:ascii="Garamond" w:hAnsi="Garamond"/>
                <w:b/>
                <w:lang w:val="en-US"/>
              </w:rPr>
              <w:t>Budget (to be submitted by the tenderer as the Financial offer using the template provided)</w:t>
            </w:r>
          </w:p>
        </w:tc>
        <w:tc>
          <w:tcPr>
            <w:tcW w:w="2268" w:type="dxa"/>
          </w:tcPr>
          <w:p w14:paraId="7AB58B38" w14:textId="77777777" w:rsidR="00606B66" w:rsidRDefault="00606B66" w:rsidP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>PRAG, Annex</w:t>
            </w: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B8i1</w:t>
            </w: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Bud</w:t>
            </w: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get for a global-price contract </w:t>
            </w:r>
          </w:p>
          <w:p w14:paraId="21AAEB6A" w14:textId="77777777" w:rsidR="00606B66" w:rsidRDefault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>or</w:t>
            </w:r>
          </w:p>
          <w:p w14:paraId="351615F4" w14:textId="169FFDB0" w:rsidR="00296B65" w:rsidRPr="005B10D0" w:rsidRDefault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B8i2</w:t>
            </w:r>
            <w:r w:rsidR="00F4663B"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Budget breakdown for a fee-based contract</w:t>
            </w:r>
          </w:p>
        </w:tc>
      </w:tr>
      <w:tr w:rsidR="00296B65" w:rsidRPr="001A2BD1" w14:paraId="0D0AF66F" w14:textId="77777777" w:rsidTr="00166CBE">
        <w:tc>
          <w:tcPr>
            <w:tcW w:w="2439" w:type="dxa"/>
            <w:gridSpan w:val="2"/>
            <w:shd w:val="clear" w:color="auto" w:fill="BDD6EE" w:themeFill="accent1" w:themeFillTint="66"/>
          </w:tcPr>
          <w:p w14:paraId="76F9F29F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</w:p>
        </w:tc>
        <w:tc>
          <w:tcPr>
            <w:tcW w:w="2239" w:type="dxa"/>
          </w:tcPr>
          <w:p w14:paraId="6DDDBDBD" w14:textId="77777777" w:rsidR="00296B65" w:rsidRPr="00AC6AFB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6EC4DECA" w14:textId="77777777" w:rsidR="00296B65" w:rsidRPr="00166CBE" w:rsidRDefault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296B65">
              <w:rPr>
                <w:rFonts w:ascii="Garamond" w:hAnsi="Garamond"/>
                <w:b/>
                <w:lang w:val="en-US"/>
              </w:rPr>
              <w:t>Forms and other supporting documents</w:t>
            </w:r>
          </w:p>
        </w:tc>
        <w:tc>
          <w:tcPr>
            <w:tcW w:w="2268" w:type="dxa"/>
          </w:tcPr>
          <w:p w14:paraId="11A3D137" w14:textId="77777777" w:rsidR="00606B66" w:rsidRDefault="00606B66" w:rsidP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>PRAG, Annex</w:t>
            </w: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>es:</w:t>
            </w:r>
          </w:p>
          <w:p w14:paraId="549DD8C3" w14:textId="12D404BC" w:rsidR="00606B66" w:rsidRPr="00606B66" w:rsidRDefault="00606B66" w:rsidP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B8j1</w:t>
            </w:r>
            <w:r w:rsidR="00F4663B"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Bank account notification form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ab/>
            </w:r>
          </w:p>
          <w:p w14:paraId="46918A01" w14:textId="6AC651D2" w:rsidR="00606B66" w:rsidRPr="00606B66" w:rsidRDefault="00606B66" w:rsidP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B8j2</w:t>
            </w:r>
            <w:r w:rsidR="00F4663B"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Financial guarantee template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ab/>
            </w:r>
          </w:p>
          <w:p w14:paraId="5868280C" w14:textId="553DE7F7" w:rsidR="00606B66" w:rsidRDefault="00606B66" w:rsidP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B8j3</w:t>
            </w:r>
            <w:r w:rsidR="00F4663B"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Legal Entity File (individual)</w:t>
            </w:r>
          </w:p>
          <w:p w14:paraId="2ED52C7A" w14:textId="42F8C02D" w:rsidR="00606B66" w:rsidRPr="00606B66" w:rsidRDefault="00606B66" w:rsidP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B8j4</w:t>
            </w:r>
            <w:r w:rsidR="00F4663B"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Legal Entity File (private companies)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ab/>
            </w:r>
          </w:p>
          <w:p w14:paraId="43180F2C" w14:textId="5BF16932" w:rsidR="00296B65" w:rsidRPr="005B10D0" w:rsidRDefault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B8j5</w:t>
            </w:r>
            <w:r w:rsidR="00F4663B"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Legal Entity File (public bodies)</w:t>
            </w:r>
          </w:p>
        </w:tc>
      </w:tr>
      <w:tr w:rsidR="00296B65" w:rsidRPr="001A2BD1" w14:paraId="00C62B5D" w14:textId="77777777" w:rsidTr="00166CBE">
        <w:tc>
          <w:tcPr>
            <w:tcW w:w="2439" w:type="dxa"/>
            <w:gridSpan w:val="2"/>
            <w:shd w:val="clear" w:color="auto" w:fill="BDD6EE" w:themeFill="accent1" w:themeFillTint="66"/>
          </w:tcPr>
          <w:p w14:paraId="789CC5EE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</w:p>
        </w:tc>
        <w:tc>
          <w:tcPr>
            <w:tcW w:w="2239" w:type="dxa"/>
          </w:tcPr>
          <w:p w14:paraId="316231D9" w14:textId="77777777" w:rsidR="00296B65" w:rsidRPr="00AC6AFB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1F1F2B60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296B65">
              <w:rPr>
                <w:rFonts w:ascii="Garamond" w:hAnsi="Garamond"/>
                <w:b/>
                <w:lang w:val="en-US"/>
              </w:rPr>
              <w:t>Expenditure verification: Terms of Reference and Report of Factual Findings (please delete for global price contracts)</w:t>
            </w:r>
          </w:p>
        </w:tc>
        <w:tc>
          <w:tcPr>
            <w:tcW w:w="2268" w:type="dxa"/>
          </w:tcPr>
          <w:p w14:paraId="09CFB7AD" w14:textId="77777777" w:rsidR="00296B65" w:rsidRPr="005B10D0" w:rsidRDefault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>PRAG, Annex</w:t>
            </w: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B8k</w:t>
            </w: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Draft contract: Expenditure verification: Terms of Reference and Report of factual Findings (Annex VII)</w:t>
            </w:r>
          </w:p>
        </w:tc>
      </w:tr>
      <w:tr w:rsidR="00296B65" w:rsidRPr="001A2BD1" w14:paraId="23CF6C19" w14:textId="77777777" w:rsidTr="00166CBE">
        <w:tc>
          <w:tcPr>
            <w:tcW w:w="2439" w:type="dxa"/>
            <w:gridSpan w:val="2"/>
            <w:shd w:val="clear" w:color="auto" w:fill="BDD6EE" w:themeFill="accent1" w:themeFillTint="66"/>
          </w:tcPr>
          <w:p w14:paraId="4D7A3526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166CBE">
              <w:rPr>
                <w:rFonts w:ascii="Garamond" w:hAnsi="Garamond"/>
                <w:b/>
                <w:lang w:val="en-US"/>
              </w:rPr>
              <w:t>Tender submission form</w:t>
            </w:r>
          </w:p>
        </w:tc>
        <w:tc>
          <w:tcPr>
            <w:tcW w:w="2239" w:type="dxa"/>
          </w:tcPr>
          <w:p w14:paraId="6455CCA5" w14:textId="77777777" w:rsidR="00296B65" w:rsidRPr="00AC6AFB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AC6AFB">
              <w:rPr>
                <w:rFonts w:ascii="Garamond" w:hAnsi="Garamond"/>
                <w:i/>
                <w:sz w:val="20"/>
                <w:szCs w:val="20"/>
                <w:lang w:val="en-US"/>
              </w:rPr>
              <w:t>PIM, Annex 14.1.1.2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A98B314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166CBE">
              <w:rPr>
                <w:rFonts w:ascii="Garamond" w:hAnsi="Garamond"/>
                <w:b/>
                <w:lang w:val="en-US"/>
              </w:rPr>
              <w:t>Service Contract Notice</w:t>
            </w:r>
          </w:p>
        </w:tc>
        <w:tc>
          <w:tcPr>
            <w:tcW w:w="2268" w:type="dxa"/>
          </w:tcPr>
          <w:p w14:paraId="5F1AD7A3" w14:textId="77777777" w:rsidR="00296B65" w:rsidRPr="005B10D0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>PRAG, Annex b8o3_contractnotice_simp_en.doc</w:t>
            </w:r>
          </w:p>
        </w:tc>
      </w:tr>
      <w:tr w:rsidR="00296B65" w:rsidRPr="001A2BD1" w14:paraId="6967096D" w14:textId="77777777" w:rsidTr="00166CBE">
        <w:tc>
          <w:tcPr>
            <w:tcW w:w="2439" w:type="dxa"/>
            <w:gridSpan w:val="2"/>
            <w:shd w:val="clear" w:color="auto" w:fill="BDD6EE" w:themeFill="accent1" w:themeFillTint="66"/>
          </w:tcPr>
          <w:p w14:paraId="6772B36D" w14:textId="77777777" w:rsidR="00296B65" w:rsidRPr="00166CBE" w:rsidDel="00296B65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</w:p>
        </w:tc>
        <w:tc>
          <w:tcPr>
            <w:tcW w:w="2239" w:type="dxa"/>
          </w:tcPr>
          <w:p w14:paraId="365A4D37" w14:textId="77777777" w:rsidR="00296B65" w:rsidRPr="00AC6AFB" w:rsidDel="00296B65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4151110B" w14:textId="77777777" w:rsidR="00296B65" w:rsidRPr="00166CBE" w:rsidRDefault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166CBE">
              <w:rPr>
                <w:rFonts w:ascii="Garamond" w:hAnsi="Garamond"/>
                <w:b/>
                <w:lang w:val="en-US"/>
              </w:rPr>
              <w:t>Draft Contract</w:t>
            </w:r>
          </w:p>
        </w:tc>
        <w:tc>
          <w:tcPr>
            <w:tcW w:w="2268" w:type="dxa"/>
          </w:tcPr>
          <w:p w14:paraId="5E07B992" w14:textId="575D7DC0" w:rsidR="00296B65" w:rsidRPr="005B10D0" w:rsidRDefault="00296B65" w:rsidP="00886B03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PRAG, Annex </w:t>
            </w:r>
            <w:r w:rsidR="00886B03"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>b8</w:t>
            </w:r>
            <w:r w:rsidR="00886B03">
              <w:rPr>
                <w:rFonts w:ascii="Garamond" w:hAnsi="Garamond"/>
                <w:i/>
                <w:sz w:val="20"/>
                <w:szCs w:val="20"/>
                <w:lang w:val="en-US"/>
              </w:rPr>
              <w:t>o</w:t>
            </w:r>
            <w:r w:rsidR="00886B03"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>2</w:t>
            </w: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>_contract_simp_en.doc</w:t>
            </w:r>
          </w:p>
        </w:tc>
      </w:tr>
      <w:tr w:rsidR="00296B65" w:rsidRPr="001A2BD1" w14:paraId="25F66367" w14:textId="77777777" w:rsidTr="00166CBE">
        <w:tc>
          <w:tcPr>
            <w:tcW w:w="2439" w:type="dxa"/>
            <w:gridSpan w:val="2"/>
            <w:vMerge w:val="restart"/>
            <w:shd w:val="clear" w:color="auto" w:fill="BDD6EE" w:themeFill="accent1" w:themeFillTint="66"/>
          </w:tcPr>
          <w:p w14:paraId="30E19050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</w:p>
        </w:tc>
        <w:tc>
          <w:tcPr>
            <w:tcW w:w="2239" w:type="dxa"/>
            <w:vMerge w:val="restart"/>
          </w:tcPr>
          <w:p w14:paraId="586A0E40" w14:textId="77777777" w:rsidR="00296B65" w:rsidRPr="00AC6AFB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77B18823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296B65">
              <w:rPr>
                <w:rFonts w:ascii="Garamond" w:hAnsi="Garamond"/>
                <w:b/>
                <w:lang w:val="en-US"/>
              </w:rPr>
              <w:t>General C</w:t>
            </w:r>
            <w:r>
              <w:rPr>
                <w:rFonts w:ascii="Garamond" w:hAnsi="Garamond"/>
                <w:b/>
                <w:lang w:val="en-US"/>
              </w:rPr>
              <w:t>onditions for service contracts</w:t>
            </w:r>
          </w:p>
        </w:tc>
        <w:tc>
          <w:tcPr>
            <w:tcW w:w="2268" w:type="dxa"/>
          </w:tcPr>
          <w:p w14:paraId="70C08D37" w14:textId="77777777" w:rsidR="00296B65" w:rsidRPr="005B10D0" w:rsidRDefault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PRAG, Annex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B8d</w:t>
            </w: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Draft contract : General conditions (Annex I)</w:t>
            </w:r>
            <w:r w:rsidRPr="00606B66" w:rsidDel="00296B65"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296B65" w:rsidRPr="001A2BD1" w14:paraId="2CB97B5E" w14:textId="77777777" w:rsidTr="00166CBE">
        <w:tc>
          <w:tcPr>
            <w:tcW w:w="2439" w:type="dxa"/>
            <w:gridSpan w:val="2"/>
            <w:vMerge/>
            <w:shd w:val="clear" w:color="auto" w:fill="BDD6EE" w:themeFill="accent1" w:themeFillTint="66"/>
          </w:tcPr>
          <w:p w14:paraId="785039F6" w14:textId="77777777" w:rsidR="00296B65" w:rsidRPr="001A2BD1" w:rsidRDefault="00296B65" w:rsidP="00296B65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2239" w:type="dxa"/>
            <w:vMerge/>
          </w:tcPr>
          <w:p w14:paraId="38CC8083" w14:textId="77777777" w:rsidR="00296B65" w:rsidRPr="00AC6AFB" w:rsidRDefault="00296B65" w:rsidP="00296B65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186AFC08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166CBE">
              <w:rPr>
                <w:rFonts w:ascii="Garamond" w:hAnsi="Garamond"/>
                <w:b/>
                <w:lang w:val="en-US"/>
              </w:rPr>
              <w:t>Tender Submission Form</w:t>
            </w:r>
          </w:p>
        </w:tc>
        <w:tc>
          <w:tcPr>
            <w:tcW w:w="2268" w:type="dxa"/>
          </w:tcPr>
          <w:p w14:paraId="5B537B99" w14:textId="77777777" w:rsidR="00296B65" w:rsidRPr="005B10D0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>PRAG, Annex b8o7_tenderform_simp_en.doc</w:t>
            </w:r>
          </w:p>
        </w:tc>
      </w:tr>
      <w:tr w:rsidR="00296B65" w:rsidRPr="001A2BD1" w14:paraId="0BCB26D1" w14:textId="77777777" w:rsidTr="00166CBE">
        <w:tc>
          <w:tcPr>
            <w:tcW w:w="2439" w:type="dxa"/>
            <w:gridSpan w:val="2"/>
            <w:vMerge/>
            <w:shd w:val="clear" w:color="auto" w:fill="BDD6EE" w:themeFill="accent1" w:themeFillTint="66"/>
          </w:tcPr>
          <w:p w14:paraId="62BE965E" w14:textId="77777777" w:rsidR="00296B65" w:rsidRPr="001A2BD1" w:rsidRDefault="00296B65" w:rsidP="00296B65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2239" w:type="dxa"/>
            <w:vMerge/>
          </w:tcPr>
          <w:p w14:paraId="449B9074" w14:textId="77777777" w:rsidR="00296B65" w:rsidRPr="00AC6AFB" w:rsidRDefault="00296B65" w:rsidP="00296B65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1F019918" w14:textId="77777777" w:rsidR="00296B65" w:rsidRPr="00166CBE" w:rsidRDefault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>
              <w:rPr>
                <w:rFonts w:ascii="Garamond" w:hAnsi="Garamond"/>
                <w:b/>
                <w:lang w:val="en-US"/>
              </w:rPr>
              <w:t>D</w:t>
            </w:r>
            <w:r w:rsidRPr="00296B65">
              <w:rPr>
                <w:rFonts w:ascii="Garamond" w:hAnsi="Garamond"/>
                <w:b/>
                <w:lang w:val="en-US"/>
              </w:rPr>
              <w:t xml:space="preserve">eclaration of </w:t>
            </w:r>
            <w:proofErr w:type="spellStart"/>
            <w:r w:rsidRPr="00296B65">
              <w:rPr>
                <w:rFonts w:ascii="Garamond" w:hAnsi="Garamond"/>
                <w:b/>
                <w:lang w:val="en-US"/>
              </w:rPr>
              <w:t>honour</w:t>
            </w:r>
            <w:proofErr w:type="spellEnd"/>
            <w:r w:rsidRPr="00296B65">
              <w:rPr>
                <w:rFonts w:ascii="Garamond" w:hAnsi="Garamond"/>
                <w:b/>
                <w:lang w:val="en-US"/>
              </w:rPr>
              <w:t xml:space="preserve"> on exclusion and selection criteria</w:t>
            </w:r>
            <w:r w:rsidRPr="00296B65" w:rsidDel="00296B65">
              <w:rPr>
                <w:rFonts w:ascii="Garamond" w:hAnsi="Garamond"/>
                <w:b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1B5AF73A" w14:textId="77777777" w:rsidR="00296B65" w:rsidRPr="005B10D0" w:rsidRDefault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PRAG, Annex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A14</w:t>
            </w: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Declaration of </w:t>
            </w:r>
            <w:proofErr w:type="spellStart"/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honour</w:t>
            </w:r>
            <w:proofErr w:type="spellEnd"/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on exclusion and selection criteria</w:t>
            </w:r>
            <w:r w:rsidRPr="00606B66" w:rsidDel="00296B65"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296B65" w:rsidRPr="001A2BD1" w14:paraId="5F7A538A" w14:textId="77777777" w:rsidTr="00166CBE">
        <w:tc>
          <w:tcPr>
            <w:tcW w:w="2439" w:type="dxa"/>
            <w:gridSpan w:val="2"/>
            <w:shd w:val="clear" w:color="auto" w:fill="BDD6EE" w:themeFill="accent1" w:themeFillTint="66"/>
          </w:tcPr>
          <w:p w14:paraId="0B9CE2FD" w14:textId="77777777" w:rsidR="00296B65" w:rsidRPr="001A2BD1" w:rsidRDefault="00296B65" w:rsidP="00296B65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2239" w:type="dxa"/>
          </w:tcPr>
          <w:p w14:paraId="1CBCCD31" w14:textId="77777777" w:rsidR="00296B65" w:rsidRPr="00AC6AFB" w:rsidRDefault="00296B65" w:rsidP="00296B65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12189D02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166CBE">
              <w:rPr>
                <w:rFonts w:ascii="Garamond" w:hAnsi="Garamond"/>
                <w:b/>
                <w:lang w:val="en-US"/>
              </w:rPr>
              <w:t>List of Entities Invited to Submit a Tender</w:t>
            </w:r>
          </w:p>
        </w:tc>
        <w:tc>
          <w:tcPr>
            <w:tcW w:w="2268" w:type="dxa"/>
          </w:tcPr>
          <w:p w14:paraId="554BFEC9" w14:textId="77777777" w:rsidR="00296B65" w:rsidRPr="005B10D0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>PRAG, Annex b8o6_list_simp_en.doc</w:t>
            </w:r>
          </w:p>
        </w:tc>
      </w:tr>
      <w:tr w:rsidR="00296B65" w:rsidRPr="001A2BD1" w14:paraId="19C042BF" w14:textId="77777777" w:rsidTr="00166CBE">
        <w:tc>
          <w:tcPr>
            <w:tcW w:w="2439" w:type="dxa"/>
            <w:gridSpan w:val="2"/>
            <w:shd w:val="clear" w:color="auto" w:fill="BDD6EE" w:themeFill="accent1" w:themeFillTint="66"/>
          </w:tcPr>
          <w:p w14:paraId="72E3ABE6" w14:textId="77777777" w:rsidR="00296B65" w:rsidRPr="001A2BD1" w:rsidRDefault="00296B65" w:rsidP="00296B65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2239" w:type="dxa"/>
          </w:tcPr>
          <w:p w14:paraId="23467D6F" w14:textId="77777777" w:rsidR="00296B65" w:rsidRPr="00AC6AFB" w:rsidRDefault="00296B65" w:rsidP="00296B65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6246CDEF" w14:textId="77777777" w:rsidR="00296B65" w:rsidRPr="00166CBE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166CBE">
              <w:rPr>
                <w:rFonts w:ascii="Garamond" w:hAnsi="Garamond"/>
                <w:b/>
                <w:lang w:val="en-US"/>
              </w:rPr>
              <w:t>Administrative Compliance Grid</w:t>
            </w:r>
          </w:p>
        </w:tc>
        <w:tc>
          <w:tcPr>
            <w:tcW w:w="2268" w:type="dxa"/>
          </w:tcPr>
          <w:p w14:paraId="51573605" w14:textId="77777777" w:rsidR="00296B65" w:rsidRPr="005B10D0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>PRAG, Annex b8o1_admingrid_simp_en.doc</w:t>
            </w:r>
          </w:p>
        </w:tc>
      </w:tr>
      <w:tr w:rsidR="00296B65" w:rsidRPr="001A2BD1" w14:paraId="6F92662C" w14:textId="77777777" w:rsidTr="00166CBE">
        <w:tc>
          <w:tcPr>
            <w:tcW w:w="2439" w:type="dxa"/>
            <w:gridSpan w:val="2"/>
            <w:shd w:val="clear" w:color="auto" w:fill="BDD6EE" w:themeFill="accent1" w:themeFillTint="66"/>
          </w:tcPr>
          <w:p w14:paraId="7FCD668F" w14:textId="77777777" w:rsidR="00296B65" w:rsidRPr="001A2BD1" w:rsidRDefault="00296B65" w:rsidP="00296B65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2239" w:type="dxa"/>
          </w:tcPr>
          <w:p w14:paraId="05E47F9A" w14:textId="77777777" w:rsidR="00296B65" w:rsidRPr="00AC6AFB" w:rsidRDefault="00296B65" w:rsidP="00296B65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29FFEFF8" w14:textId="77777777" w:rsidR="00296B65" w:rsidRPr="00166CBE" w:rsidRDefault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296B65">
              <w:rPr>
                <w:rFonts w:ascii="Garamond" w:hAnsi="Garamond"/>
                <w:b/>
                <w:lang w:val="en-US"/>
              </w:rPr>
              <w:t>Evaluation grid</w:t>
            </w:r>
          </w:p>
        </w:tc>
        <w:tc>
          <w:tcPr>
            <w:tcW w:w="2268" w:type="dxa"/>
          </w:tcPr>
          <w:p w14:paraId="5AA5B956" w14:textId="77777777" w:rsidR="00606B66" w:rsidRDefault="00606B66" w:rsidP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>PRAG, Annex</w:t>
            </w: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B8m1</w:t>
            </w: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Evaluation grid</w:t>
            </w: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(fee- based)</w:t>
            </w:r>
          </w:p>
          <w:p w14:paraId="22C3F395" w14:textId="77777777" w:rsidR="00606B66" w:rsidRPr="00606B66" w:rsidRDefault="00606B66" w:rsidP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>or</w:t>
            </w:r>
          </w:p>
          <w:p w14:paraId="52645EB7" w14:textId="77777777" w:rsidR="00296B65" w:rsidRPr="005B10D0" w:rsidRDefault="00606B66" w:rsidP="00606B66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8m2 </w:t>
            </w:r>
            <w:r w:rsidRPr="00606B66">
              <w:rPr>
                <w:rFonts w:ascii="Garamond" w:hAnsi="Garamond"/>
                <w:i/>
                <w:sz w:val="20"/>
                <w:szCs w:val="20"/>
                <w:lang w:val="en-US"/>
              </w:rPr>
              <w:t>Evaluation grid (global price)</w:t>
            </w:r>
          </w:p>
        </w:tc>
      </w:tr>
      <w:tr w:rsidR="00296B65" w:rsidRPr="001A2BD1" w14:paraId="22643839" w14:textId="77777777" w:rsidTr="00166CBE">
        <w:tc>
          <w:tcPr>
            <w:tcW w:w="9214" w:type="dxa"/>
            <w:gridSpan w:val="5"/>
            <w:shd w:val="clear" w:color="auto" w:fill="BDD6EE" w:themeFill="accent1" w:themeFillTint="66"/>
          </w:tcPr>
          <w:p w14:paraId="5E66A210" w14:textId="77777777" w:rsidR="00296B65" w:rsidRPr="005B10D0" w:rsidRDefault="00296B65" w:rsidP="00296B65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b/>
                <w:sz w:val="20"/>
                <w:szCs w:val="20"/>
                <w:lang w:val="en-US"/>
              </w:rPr>
              <w:t>Additional forms for the selection process:</w:t>
            </w:r>
          </w:p>
        </w:tc>
      </w:tr>
      <w:tr w:rsidR="00FA0C31" w:rsidRPr="001A2BD1" w14:paraId="5EA16454" w14:textId="77777777" w:rsidTr="00AC6AFB">
        <w:tc>
          <w:tcPr>
            <w:tcW w:w="2410" w:type="dxa"/>
            <w:shd w:val="clear" w:color="auto" w:fill="BDD6EE" w:themeFill="accent1" w:themeFillTint="66"/>
          </w:tcPr>
          <w:p w14:paraId="79CDB892" w14:textId="77777777" w:rsidR="00FA0C31" w:rsidRPr="00AC6AFB" w:rsidRDefault="00FA0C31" w:rsidP="00FA0C31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FA0C31">
              <w:rPr>
                <w:rFonts w:ascii="Garamond" w:hAnsi="Garamond"/>
                <w:b/>
                <w:lang w:val="en-US"/>
              </w:rPr>
              <w:t>Negotiation report for single tenders</w:t>
            </w:r>
          </w:p>
        </w:tc>
        <w:tc>
          <w:tcPr>
            <w:tcW w:w="2268" w:type="dxa"/>
            <w:gridSpan w:val="2"/>
          </w:tcPr>
          <w:p w14:paraId="642EBF62" w14:textId="77777777" w:rsidR="00FA0C31" w:rsidRPr="00AC6AFB" w:rsidRDefault="00FA0C31" w:rsidP="00FA0C31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AC6AFB">
              <w:rPr>
                <w:rFonts w:ascii="Garamond" w:hAnsi="Garamond"/>
                <w:i/>
                <w:sz w:val="20"/>
                <w:szCs w:val="20"/>
                <w:lang w:val="en-US"/>
              </w:rPr>
              <w:t>PRAG, Annex a10b_singletenderreport_en.doc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07106AA" w14:textId="77777777" w:rsidR="00FA0C31" w:rsidRPr="00AC6AFB" w:rsidRDefault="00FA0C31" w:rsidP="00FA0C31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FA0C31">
              <w:rPr>
                <w:rFonts w:ascii="Garamond" w:hAnsi="Garamond"/>
                <w:b/>
                <w:lang w:val="en-US"/>
              </w:rPr>
              <w:t>Negotiation report for single tenders</w:t>
            </w:r>
          </w:p>
        </w:tc>
        <w:tc>
          <w:tcPr>
            <w:tcW w:w="2268" w:type="dxa"/>
          </w:tcPr>
          <w:p w14:paraId="3B198F76" w14:textId="77777777" w:rsidR="00FA0C31" w:rsidRPr="005B10D0" w:rsidRDefault="00FA0C31" w:rsidP="00FA0C31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>PRAG, Annex a10b_singeltenderreport_en.doc</w:t>
            </w:r>
          </w:p>
        </w:tc>
      </w:tr>
      <w:tr w:rsidR="00296B65" w:rsidRPr="001A2BD1" w14:paraId="5562459D" w14:textId="77777777" w:rsidTr="00AC6AFB">
        <w:tc>
          <w:tcPr>
            <w:tcW w:w="2410" w:type="dxa"/>
            <w:vMerge w:val="restart"/>
            <w:shd w:val="clear" w:color="auto" w:fill="BDD6EE" w:themeFill="accent1" w:themeFillTint="66"/>
          </w:tcPr>
          <w:p w14:paraId="7092C8C6" w14:textId="77777777" w:rsidR="00296B65" w:rsidRPr="00AC6AFB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AC6AFB">
              <w:rPr>
                <w:rFonts w:ascii="Garamond" w:hAnsi="Garamond"/>
                <w:b/>
                <w:lang w:val="en-US"/>
              </w:rPr>
              <w:t>Notification Letter to awarded tenderer</w:t>
            </w:r>
          </w:p>
        </w:tc>
        <w:tc>
          <w:tcPr>
            <w:tcW w:w="2268" w:type="dxa"/>
            <w:gridSpan w:val="2"/>
            <w:vMerge w:val="restart"/>
          </w:tcPr>
          <w:p w14:paraId="4A2D411A" w14:textId="77777777" w:rsidR="00296B65" w:rsidRPr="00AC6AFB" w:rsidRDefault="00296B65" w:rsidP="00296B65">
            <w:pPr>
              <w:ind w:left="-109"/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AC6AFB">
              <w:rPr>
                <w:rFonts w:ascii="Garamond" w:hAnsi="Garamond"/>
                <w:i/>
                <w:sz w:val="20"/>
                <w:szCs w:val="20"/>
                <w:lang w:val="en-US"/>
              </w:rPr>
              <w:t>PRAG, Annex     b13a_notification_letter_en.doc</w:t>
            </w:r>
          </w:p>
          <w:p w14:paraId="45274EF2" w14:textId="77777777" w:rsidR="00296B65" w:rsidRPr="00AC6AFB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100C8537" w14:textId="77777777" w:rsidR="00296B65" w:rsidRPr="00AC6AFB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AC6AFB">
              <w:rPr>
                <w:rFonts w:ascii="Garamond" w:hAnsi="Garamond"/>
                <w:b/>
                <w:lang w:val="en-US"/>
              </w:rPr>
              <w:t>Notification Letter to awarded tenderer</w:t>
            </w:r>
          </w:p>
        </w:tc>
        <w:tc>
          <w:tcPr>
            <w:tcW w:w="2268" w:type="dxa"/>
          </w:tcPr>
          <w:p w14:paraId="4B5F46A7" w14:textId="77777777" w:rsidR="00296B65" w:rsidRPr="005B10D0" w:rsidRDefault="00296B65" w:rsidP="00296B65">
            <w:pPr>
              <w:ind w:left="-109"/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>PRAG, Annex   b13a_notification_letter_en.doc</w:t>
            </w:r>
          </w:p>
          <w:p w14:paraId="21264CF0" w14:textId="77777777" w:rsidR="00296B65" w:rsidRPr="005B10D0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</w:p>
        </w:tc>
      </w:tr>
      <w:tr w:rsidR="00296B65" w:rsidRPr="001A2BD1" w14:paraId="298B9AD6" w14:textId="77777777" w:rsidTr="00AC6AFB">
        <w:tc>
          <w:tcPr>
            <w:tcW w:w="2410" w:type="dxa"/>
            <w:vMerge/>
            <w:shd w:val="clear" w:color="auto" w:fill="BDD6EE" w:themeFill="accent1" w:themeFillTint="66"/>
          </w:tcPr>
          <w:p w14:paraId="36157B3E" w14:textId="77777777" w:rsidR="00296B65" w:rsidRPr="001A2BD1" w:rsidRDefault="00296B65" w:rsidP="00296B65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2268" w:type="dxa"/>
            <w:gridSpan w:val="2"/>
            <w:vMerge/>
          </w:tcPr>
          <w:p w14:paraId="7125BFE1" w14:textId="77777777" w:rsidR="00296B65" w:rsidRPr="001A2BD1" w:rsidRDefault="00296B65" w:rsidP="00296B65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503F0A15" w14:textId="77777777" w:rsidR="00296B65" w:rsidRPr="00AC6AFB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AC6AFB">
              <w:rPr>
                <w:rFonts w:ascii="Garamond" w:hAnsi="Garamond"/>
                <w:b/>
                <w:lang w:val="en-US"/>
              </w:rPr>
              <w:t>Letter to second best tenderer</w:t>
            </w:r>
          </w:p>
        </w:tc>
        <w:tc>
          <w:tcPr>
            <w:tcW w:w="2268" w:type="dxa"/>
          </w:tcPr>
          <w:p w14:paraId="51364F70" w14:textId="0B049292" w:rsidR="00495F04" w:rsidRPr="005B10D0" w:rsidRDefault="00296B65" w:rsidP="00495F04">
            <w:pPr>
              <w:ind w:left="-109"/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>PRAG, Annex b13b_</w:t>
            </w:r>
            <w:r w:rsidR="00495F04" w:rsidRPr="005B10D0" w:rsidDel="00495F04">
              <w:rPr>
                <w:rFonts w:ascii="Garamond" w:hAnsi="Garamond"/>
                <w:i/>
                <w:sz w:val="20"/>
                <w:szCs w:val="20"/>
                <w:lang w:val="en-US"/>
              </w:rPr>
              <w:t xml:space="preserve"> </w:t>
            </w:r>
          </w:p>
          <w:p w14:paraId="2B926078" w14:textId="77777777" w:rsidR="00367066" w:rsidRDefault="00495F04" w:rsidP="008F1C05">
            <w:pPr>
              <w:ind w:left="-109"/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495F04">
              <w:rPr>
                <w:rFonts w:ascii="Garamond" w:hAnsi="Garamond"/>
                <w:i/>
                <w:sz w:val="20"/>
                <w:szCs w:val="20"/>
                <w:lang w:val="en-US"/>
              </w:rPr>
              <w:t>b13b_lettersecond_best_en.doc</w:t>
            </w:r>
          </w:p>
        </w:tc>
      </w:tr>
      <w:tr w:rsidR="00296B65" w:rsidRPr="001A2BD1" w14:paraId="64207CE9" w14:textId="77777777" w:rsidTr="00AC6AFB">
        <w:tc>
          <w:tcPr>
            <w:tcW w:w="2410" w:type="dxa"/>
            <w:vMerge/>
            <w:shd w:val="clear" w:color="auto" w:fill="BDD6EE" w:themeFill="accent1" w:themeFillTint="66"/>
          </w:tcPr>
          <w:p w14:paraId="6BBFC2E8" w14:textId="77777777" w:rsidR="00296B65" w:rsidRPr="001A2BD1" w:rsidRDefault="00296B65" w:rsidP="00296B65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2268" w:type="dxa"/>
            <w:gridSpan w:val="2"/>
            <w:vMerge/>
          </w:tcPr>
          <w:p w14:paraId="36A51CD7" w14:textId="77777777" w:rsidR="00296B65" w:rsidRPr="001A2BD1" w:rsidRDefault="00296B65" w:rsidP="00296B65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775046EF" w14:textId="77777777" w:rsidR="00296B65" w:rsidRPr="00AC6AFB" w:rsidRDefault="00296B65" w:rsidP="00296B65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AC6AFB">
              <w:rPr>
                <w:rFonts w:ascii="Garamond" w:hAnsi="Garamond"/>
                <w:b/>
                <w:lang w:val="en-US"/>
              </w:rPr>
              <w:t>Letter to unsuccessful tenderer</w:t>
            </w:r>
          </w:p>
        </w:tc>
        <w:tc>
          <w:tcPr>
            <w:tcW w:w="2268" w:type="dxa"/>
          </w:tcPr>
          <w:p w14:paraId="5DBE2F11" w14:textId="77777777" w:rsidR="00296B65" w:rsidRPr="005B10D0" w:rsidRDefault="00296B65" w:rsidP="00296B65">
            <w:pPr>
              <w:jc w:val="center"/>
              <w:rPr>
                <w:rFonts w:ascii="Garamond" w:hAnsi="Garamond"/>
                <w:i/>
                <w:sz w:val="20"/>
                <w:szCs w:val="20"/>
                <w:lang w:val="en-US"/>
              </w:rPr>
            </w:pPr>
            <w:r w:rsidRPr="005B10D0">
              <w:rPr>
                <w:rFonts w:ascii="Garamond" w:hAnsi="Garamond"/>
                <w:i/>
                <w:sz w:val="20"/>
                <w:szCs w:val="20"/>
                <w:lang w:val="en-US"/>
              </w:rPr>
              <w:t>PRAG, Annex b13c_letterunsuccessful_en.doc</w:t>
            </w:r>
          </w:p>
        </w:tc>
      </w:tr>
    </w:tbl>
    <w:p w14:paraId="30F50755" w14:textId="06A45CF6" w:rsidR="008732D5" w:rsidRPr="00166CBE" w:rsidRDefault="008732D5" w:rsidP="0030085A">
      <w:pPr>
        <w:ind w:left="168"/>
        <w:rPr>
          <w:rFonts w:ascii="Garamond" w:hAnsi="Garamond"/>
          <w:b/>
          <w:i/>
          <w:lang w:val="en-US"/>
        </w:rPr>
      </w:pPr>
    </w:p>
    <w:sectPr w:rsidR="008732D5" w:rsidRPr="00166CBE" w:rsidSect="005B10D0">
      <w:pgSz w:w="11906" w:h="16838"/>
      <w:pgMar w:top="1135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89D6E" w14:textId="77777777" w:rsidR="00222144" w:rsidRDefault="00222144" w:rsidP="000F0D63">
      <w:pPr>
        <w:spacing w:after="0" w:line="240" w:lineRule="auto"/>
      </w:pPr>
      <w:r>
        <w:separator/>
      </w:r>
    </w:p>
  </w:endnote>
  <w:endnote w:type="continuationSeparator" w:id="0">
    <w:p w14:paraId="2DA83B32" w14:textId="77777777" w:rsidR="00222144" w:rsidRDefault="00222144" w:rsidP="000F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92824" w14:textId="77777777" w:rsidR="00222144" w:rsidRDefault="00222144" w:rsidP="000F0D63">
      <w:pPr>
        <w:spacing w:after="0" w:line="240" w:lineRule="auto"/>
      </w:pPr>
      <w:r>
        <w:separator/>
      </w:r>
    </w:p>
  </w:footnote>
  <w:footnote w:type="continuationSeparator" w:id="0">
    <w:p w14:paraId="2BA6027B" w14:textId="77777777" w:rsidR="00222144" w:rsidRDefault="00222144" w:rsidP="000F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4A3E"/>
    <w:multiLevelType w:val="hybridMultilevel"/>
    <w:tmpl w:val="A32C46B0"/>
    <w:lvl w:ilvl="0" w:tplc="77DA8C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7D5871"/>
    <w:multiLevelType w:val="hybridMultilevel"/>
    <w:tmpl w:val="3CA28E7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05460"/>
    <w:multiLevelType w:val="hybridMultilevel"/>
    <w:tmpl w:val="4BE88E26"/>
    <w:lvl w:ilvl="0" w:tplc="2970234A">
      <w:numFmt w:val="bullet"/>
      <w:lvlText w:val=""/>
      <w:lvlJc w:val="left"/>
      <w:pPr>
        <w:ind w:left="528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3">
    <w:nsid w:val="4E710406"/>
    <w:multiLevelType w:val="hybridMultilevel"/>
    <w:tmpl w:val="5AFC0B70"/>
    <w:lvl w:ilvl="0" w:tplc="2BA2306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9B11AC"/>
    <w:multiLevelType w:val="hybridMultilevel"/>
    <w:tmpl w:val="5770B902"/>
    <w:lvl w:ilvl="0" w:tplc="0402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67311F17"/>
    <w:multiLevelType w:val="hybridMultilevel"/>
    <w:tmpl w:val="6C58DD92"/>
    <w:lvl w:ilvl="0" w:tplc="29BC801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F6607B"/>
    <w:multiLevelType w:val="hybridMultilevel"/>
    <w:tmpl w:val="1CB223D8"/>
    <w:lvl w:ilvl="0" w:tplc="B2B417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72"/>
    <w:rsid w:val="000261A3"/>
    <w:rsid w:val="000308CE"/>
    <w:rsid w:val="00057358"/>
    <w:rsid w:val="000647C0"/>
    <w:rsid w:val="00065BF4"/>
    <w:rsid w:val="00065E07"/>
    <w:rsid w:val="000A7131"/>
    <w:rsid w:val="000C7E04"/>
    <w:rsid w:val="000D0656"/>
    <w:rsid w:val="000E6E06"/>
    <w:rsid w:val="000F0D63"/>
    <w:rsid w:val="0010476E"/>
    <w:rsid w:val="00117C08"/>
    <w:rsid w:val="00125A57"/>
    <w:rsid w:val="00125E50"/>
    <w:rsid w:val="0016380F"/>
    <w:rsid w:val="00166CBE"/>
    <w:rsid w:val="001A15C4"/>
    <w:rsid w:val="001A2BD1"/>
    <w:rsid w:val="001C17CA"/>
    <w:rsid w:val="001F2C5D"/>
    <w:rsid w:val="001F6E4E"/>
    <w:rsid w:val="00202A6D"/>
    <w:rsid w:val="00203362"/>
    <w:rsid w:val="00222144"/>
    <w:rsid w:val="00226A8F"/>
    <w:rsid w:val="0023507D"/>
    <w:rsid w:val="002421AE"/>
    <w:rsid w:val="00277F94"/>
    <w:rsid w:val="00296B65"/>
    <w:rsid w:val="002B3B33"/>
    <w:rsid w:val="002C2450"/>
    <w:rsid w:val="002C3EFD"/>
    <w:rsid w:val="0030085A"/>
    <w:rsid w:val="00340D35"/>
    <w:rsid w:val="003532D4"/>
    <w:rsid w:val="00367066"/>
    <w:rsid w:val="0037260A"/>
    <w:rsid w:val="00377BFC"/>
    <w:rsid w:val="003B40B2"/>
    <w:rsid w:val="003D3736"/>
    <w:rsid w:val="003D6FFD"/>
    <w:rsid w:val="003E72D4"/>
    <w:rsid w:val="00411232"/>
    <w:rsid w:val="0042516E"/>
    <w:rsid w:val="00432D8A"/>
    <w:rsid w:val="00432F91"/>
    <w:rsid w:val="00484D11"/>
    <w:rsid w:val="0049139A"/>
    <w:rsid w:val="00495F04"/>
    <w:rsid w:val="004B03D1"/>
    <w:rsid w:val="004E5B88"/>
    <w:rsid w:val="00524A1E"/>
    <w:rsid w:val="005555A4"/>
    <w:rsid w:val="00571A64"/>
    <w:rsid w:val="005A09F5"/>
    <w:rsid w:val="005B10D0"/>
    <w:rsid w:val="005C12F3"/>
    <w:rsid w:val="005C43E2"/>
    <w:rsid w:val="005D5D19"/>
    <w:rsid w:val="005E1D8A"/>
    <w:rsid w:val="005E6EF5"/>
    <w:rsid w:val="00606B66"/>
    <w:rsid w:val="00612101"/>
    <w:rsid w:val="00670C1A"/>
    <w:rsid w:val="00671254"/>
    <w:rsid w:val="00682269"/>
    <w:rsid w:val="0069100A"/>
    <w:rsid w:val="006F2F41"/>
    <w:rsid w:val="00704D19"/>
    <w:rsid w:val="0077724C"/>
    <w:rsid w:val="0078295F"/>
    <w:rsid w:val="007A5760"/>
    <w:rsid w:val="007A5CD0"/>
    <w:rsid w:val="007D5087"/>
    <w:rsid w:val="007E0C33"/>
    <w:rsid w:val="00834D29"/>
    <w:rsid w:val="008411D7"/>
    <w:rsid w:val="00853D81"/>
    <w:rsid w:val="0086005F"/>
    <w:rsid w:val="00860521"/>
    <w:rsid w:val="0087188A"/>
    <w:rsid w:val="008732D5"/>
    <w:rsid w:val="00873804"/>
    <w:rsid w:val="00886B03"/>
    <w:rsid w:val="008A7373"/>
    <w:rsid w:val="008B52A3"/>
    <w:rsid w:val="008C376E"/>
    <w:rsid w:val="008D3CBB"/>
    <w:rsid w:val="008E21A8"/>
    <w:rsid w:val="008F1C05"/>
    <w:rsid w:val="00900AE9"/>
    <w:rsid w:val="00916BA0"/>
    <w:rsid w:val="00926315"/>
    <w:rsid w:val="00935437"/>
    <w:rsid w:val="00960EFA"/>
    <w:rsid w:val="00962B42"/>
    <w:rsid w:val="009758FE"/>
    <w:rsid w:val="009808F9"/>
    <w:rsid w:val="009B666B"/>
    <w:rsid w:val="00A1442A"/>
    <w:rsid w:val="00A212AD"/>
    <w:rsid w:val="00A37255"/>
    <w:rsid w:val="00A46726"/>
    <w:rsid w:val="00A65050"/>
    <w:rsid w:val="00A82A5F"/>
    <w:rsid w:val="00A83CA4"/>
    <w:rsid w:val="00AB4217"/>
    <w:rsid w:val="00AC16FC"/>
    <w:rsid w:val="00AC5B53"/>
    <w:rsid w:val="00AC6AFB"/>
    <w:rsid w:val="00AC6CE5"/>
    <w:rsid w:val="00AD58C1"/>
    <w:rsid w:val="00AF0455"/>
    <w:rsid w:val="00AF2A3A"/>
    <w:rsid w:val="00AF44E3"/>
    <w:rsid w:val="00B02397"/>
    <w:rsid w:val="00B67B75"/>
    <w:rsid w:val="00B716F1"/>
    <w:rsid w:val="00BA3C78"/>
    <w:rsid w:val="00C14F3A"/>
    <w:rsid w:val="00C40C4A"/>
    <w:rsid w:val="00C521D9"/>
    <w:rsid w:val="00CC7DFC"/>
    <w:rsid w:val="00CD405C"/>
    <w:rsid w:val="00CF4AD7"/>
    <w:rsid w:val="00D304BD"/>
    <w:rsid w:val="00D459F6"/>
    <w:rsid w:val="00D5676D"/>
    <w:rsid w:val="00D72099"/>
    <w:rsid w:val="00D853D8"/>
    <w:rsid w:val="00DB3C8D"/>
    <w:rsid w:val="00DD24E5"/>
    <w:rsid w:val="00DD5E60"/>
    <w:rsid w:val="00DE1AAC"/>
    <w:rsid w:val="00DF5CC6"/>
    <w:rsid w:val="00E02405"/>
    <w:rsid w:val="00E24705"/>
    <w:rsid w:val="00E44FAA"/>
    <w:rsid w:val="00E6091C"/>
    <w:rsid w:val="00E648FA"/>
    <w:rsid w:val="00E7226C"/>
    <w:rsid w:val="00E92FCF"/>
    <w:rsid w:val="00EA7F2A"/>
    <w:rsid w:val="00EB22A7"/>
    <w:rsid w:val="00ED3F7D"/>
    <w:rsid w:val="00EE3425"/>
    <w:rsid w:val="00EF7C72"/>
    <w:rsid w:val="00F22D8F"/>
    <w:rsid w:val="00F37955"/>
    <w:rsid w:val="00F42036"/>
    <w:rsid w:val="00F4663B"/>
    <w:rsid w:val="00F515BA"/>
    <w:rsid w:val="00F85B73"/>
    <w:rsid w:val="00F874D4"/>
    <w:rsid w:val="00F960D9"/>
    <w:rsid w:val="00FA0C31"/>
    <w:rsid w:val="00F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A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0D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D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0D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6121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1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0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B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1D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0D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D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0D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6121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1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0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B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1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25167-1D78-4A20-B76D-9E7D17BA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 Popov</dc:creator>
  <cp:lastModifiedBy>Desislava Petkova</cp:lastModifiedBy>
  <cp:revision>4</cp:revision>
  <cp:lastPrinted>2017-08-09T08:30:00Z</cp:lastPrinted>
  <dcterms:created xsi:type="dcterms:W3CDTF">2017-08-10T13:01:00Z</dcterms:created>
  <dcterms:modified xsi:type="dcterms:W3CDTF">2017-08-10T13:14:00Z</dcterms:modified>
</cp:coreProperties>
</file>