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692CA6" w:rsidRDefault="003D764D" w:rsidP="00D15A2C">
      <w:pPr>
        <w:spacing w:before="120" w:after="120"/>
        <w:ind w:left="1134" w:hanging="567"/>
        <w:rPr>
          <w:sz w:val="22"/>
          <w:szCs w:val="22"/>
        </w:rPr>
      </w:pPr>
      <w:r w:rsidRPr="00F162E3">
        <w:rPr>
          <w:sz w:val="22"/>
          <w:szCs w:val="22"/>
        </w:rPr>
        <w:t>4.1</w:t>
      </w:r>
      <w:r w:rsidRPr="00F162E3">
        <w:rPr>
          <w:sz w:val="22"/>
          <w:szCs w:val="22"/>
        </w:rPr>
        <w:tab/>
      </w:r>
      <w:r w:rsidR="00692CA6" w:rsidRPr="00692CA6">
        <w:rPr>
          <w:sz w:val="22"/>
          <w:szCs w:val="22"/>
        </w:rPr>
        <w:t>Any written communications between the Contracting Authority and the Contractor, should contain the name of the contract, the identification number and can be done by post mail, e-mail or personal delivery to the following addresses:</w:t>
      </w:r>
    </w:p>
    <w:p w:rsidR="00692CA6" w:rsidRPr="00721168" w:rsidRDefault="00692CA6" w:rsidP="00692CA6">
      <w:pPr>
        <w:spacing w:before="120" w:after="120"/>
        <w:ind w:left="1134"/>
        <w:rPr>
          <w:b/>
          <w:bCs/>
          <w:sz w:val="22"/>
          <w:szCs w:val="22"/>
        </w:rPr>
      </w:pPr>
      <w:r w:rsidRPr="00721168">
        <w:rPr>
          <w:b/>
          <w:bCs/>
          <w:sz w:val="22"/>
          <w:szCs w:val="22"/>
        </w:rPr>
        <w:t xml:space="preserve">For the Contracting </w:t>
      </w:r>
      <w:r w:rsidR="00721168" w:rsidRPr="00721168">
        <w:rPr>
          <w:b/>
          <w:bCs/>
          <w:sz w:val="22"/>
          <w:szCs w:val="22"/>
        </w:rPr>
        <w:t>Authority</w:t>
      </w:r>
      <w:r w:rsidR="00721168">
        <w:rPr>
          <w:b/>
          <w:bCs/>
          <w:sz w:val="22"/>
          <w:szCs w:val="22"/>
        </w:rPr>
        <w:t>:</w:t>
      </w:r>
    </w:p>
    <w:p w:rsidR="00692CA6" w:rsidRDefault="00D15A2C" w:rsidP="00692CA6">
      <w:pPr>
        <w:spacing w:before="120" w:after="120"/>
        <w:ind w:left="1134"/>
        <w:rPr>
          <w:sz w:val="22"/>
          <w:szCs w:val="22"/>
        </w:rPr>
      </w:pPr>
      <w:r w:rsidRPr="00D15A2C">
        <w:rPr>
          <w:sz w:val="22"/>
          <w:szCs w:val="22"/>
        </w:rPr>
        <w:t xml:space="preserve">Municipality of Kriva Palanka. </w:t>
      </w:r>
    </w:p>
    <w:p w:rsidR="00D15A2C" w:rsidRDefault="00D15A2C" w:rsidP="00D15A2C">
      <w:pPr>
        <w:spacing w:before="120" w:after="120"/>
        <w:ind w:left="1134"/>
        <w:rPr>
          <w:sz w:val="22"/>
          <w:szCs w:val="22"/>
        </w:rPr>
      </w:pPr>
      <w:r w:rsidRPr="00D15A2C">
        <w:rPr>
          <w:sz w:val="22"/>
          <w:szCs w:val="22"/>
        </w:rPr>
        <w:t>St. Joakim Osogovski 175</w:t>
      </w:r>
    </w:p>
    <w:p w:rsidR="00692CA6" w:rsidRPr="00D15A2C" w:rsidRDefault="00692CA6" w:rsidP="00D15A2C">
      <w:pPr>
        <w:spacing w:before="120" w:after="120"/>
        <w:ind w:left="1134"/>
        <w:rPr>
          <w:sz w:val="22"/>
          <w:szCs w:val="22"/>
          <w:highlight w:val="yellow"/>
        </w:rPr>
      </w:pPr>
      <w:r w:rsidRPr="00692CA6">
        <w:rPr>
          <w:sz w:val="22"/>
          <w:szCs w:val="22"/>
        </w:rPr>
        <w:t>Mrs. Daniela Anastasovska, project coordinatotr</w:t>
      </w:r>
    </w:p>
    <w:p w:rsidR="001050EE" w:rsidRDefault="00D15A2C" w:rsidP="00D15A2C">
      <w:pPr>
        <w:spacing w:before="120" w:after="120"/>
        <w:ind w:left="1134"/>
        <w:rPr>
          <w:rStyle w:val="Hyperlink"/>
          <w:sz w:val="22"/>
          <w:szCs w:val="22"/>
          <w:lang w:val="en-US"/>
        </w:rPr>
      </w:pPr>
      <w:r w:rsidRPr="00D15A2C">
        <w:rPr>
          <w:sz w:val="22"/>
          <w:szCs w:val="22"/>
        </w:rPr>
        <w:t xml:space="preserve">E-mail: </w:t>
      </w:r>
      <w:hyperlink r:id="rId8" w:history="1">
        <w:r w:rsidRPr="0060271C">
          <w:rPr>
            <w:rStyle w:val="Hyperlink"/>
            <w:sz w:val="22"/>
            <w:szCs w:val="22"/>
          </w:rPr>
          <w:t>opkp</w:t>
        </w:r>
        <w:r w:rsidRPr="0060271C">
          <w:rPr>
            <w:rStyle w:val="Hyperlink"/>
            <w:sz w:val="22"/>
            <w:szCs w:val="22"/>
            <w:lang w:val="en-US"/>
          </w:rPr>
          <w:t>@krivapalanka.gov.mk</w:t>
        </w:r>
      </w:hyperlink>
    </w:p>
    <w:p w:rsidR="00692CA6" w:rsidRDefault="00721168" w:rsidP="00D15A2C">
      <w:pPr>
        <w:spacing w:before="120" w:after="120"/>
        <w:ind w:left="1134"/>
        <w:rPr>
          <w:b/>
          <w:bCs/>
          <w:sz w:val="22"/>
          <w:szCs w:val="22"/>
        </w:rPr>
      </w:pPr>
      <w:r w:rsidRPr="00721168">
        <w:rPr>
          <w:b/>
          <w:bCs/>
          <w:sz w:val="22"/>
          <w:szCs w:val="22"/>
        </w:rPr>
        <w:t>For the Contractor:</w:t>
      </w:r>
    </w:p>
    <w:p w:rsidR="00721168" w:rsidRPr="00B45A23" w:rsidRDefault="00721168" w:rsidP="00D15A2C">
      <w:pPr>
        <w:spacing w:before="120" w:after="120"/>
        <w:ind w:left="1134"/>
        <w:rPr>
          <w:sz w:val="22"/>
          <w:szCs w:val="22"/>
          <w:highlight w:val="lightGray"/>
        </w:rPr>
      </w:pPr>
      <w:r w:rsidRPr="00B45A23">
        <w:rPr>
          <w:sz w:val="22"/>
          <w:szCs w:val="22"/>
          <w:highlight w:val="lightGray"/>
        </w:rPr>
        <w:t>Name of Contractor:</w:t>
      </w:r>
    </w:p>
    <w:p w:rsidR="00692CA6" w:rsidRPr="00B45A23" w:rsidRDefault="00692CA6" w:rsidP="00692CA6">
      <w:pPr>
        <w:spacing w:before="120" w:after="120"/>
        <w:ind w:left="1134"/>
        <w:rPr>
          <w:sz w:val="22"/>
          <w:szCs w:val="22"/>
          <w:highlight w:val="lightGray"/>
        </w:rPr>
      </w:pPr>
      <w:r w:rsidRPr="00B45A23">
        <w:rPr>
          <w:sz w:val="22"/>
          <w:szCs w:val="22"/>
          <w:highlight w:val="lightGray"/>
        </w:rPr>
        <w:t>Address:</w:t>
      </w:r>
    </w:p>
    <w:p w:rsidR="00692CA6" w:rsidRPr="00B45A23" w:rsidRDefault="00692CA6" w:rsidP="00692CA6">
      <w:pPr>
        <w:spacing w:before="120" w:after="120"/>
        <w:ind w:left="1134"/>
        <w:rPr>
          <w:sz w:val="22"/>
          <w:szCs w:val="22"/>
          <w:highlight w:val="lightGray"/>
        </w:rPr>
      </w:pPr>
      <w:r w:rsidRPr="00B45A23">
        <w:rPr>
          <w:sz w:val="22"/>
          <w:szCs w:val="22"/>
          <w:highlight w:val="lightGray"/>
        </w:rPr>
        <w:t>Contact person:</w:t>
      </w:r>
    </w:p>
    <w:p w:rsidR="00692CA6" w:rsidRDefault="00692CA6" w:rsidP="00692CA6">
      <w:pPr>
        <w:spacing w:before="120" w:after="120"/>
        <w:ind w:left="1134"/>
        <w:rPr>
          <w:sz w:val="22"/>
          <w:szCs w:val="22"/>
        </w:rPr>
      </w:pPr>
      <w:r w:rsidRPr="00B45A23">
        <w:rPr>
          <w:sz w:val="22"/>
          <w:szCs w:val="22"/>
          <w:highlight w:val="lightGray"/>
        </w:rPr>
        <w:t>E-mail:</w:t>
      </w:r>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3C17E3" w:rsidRPr="00F162E3" w:rsidRDefault="003C17E3" w:rsidP="003D764D">
      <w:pPr>
        <w:spacing w:before="120" w:after="120"/>
        <w:ind w:left="1134" w:hanging="567"/>
        <w:rPr>
          <w:sz w:val="22"/>
          <w:szCs w:val="22"/>
        </w:rPr>
      </w:pPr>
    </w:p>
    <w:p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rsidR="001050EE" w:rsidRDefault="001050EE" w:rsidP="00721168">
      <w:pPr>
        <w:spacing w:before="120" w:after="120"/>
        <w:ind w:left="1134" w:hanging="567"/>
        <w:jc w:val="both"/>
        <w:rPr>
          <w:sz w:val="22"/>
          <w:szCs w:val="22"/>
        </w:rPr>
      </w:pPr>
      <w:r w:rsidRPr="004E0E24">
        <w:rPr>
          <w:bCs/>
          <w:sz w:val="22"/>
          <w:szCs w:val="22"/>
        </w:rPr>
        <w:t>5.2</w:t>
      </w:r>
      <w:r w:rsidR="009D279F" w:rsidRPr="004E0E24">
        <w:rPr>
          <w:sz w:val="22"/>
          <w:szCs w:val="22"/>
        </w:rPr>
        <w:tab/>
      </w:r>
      <w:r w:rsidR="00BE1FC1" w:rsidRPr="00BE1FC1">
        <w:rPr>
          <w:sz w:val="22"/>
          <w:szCs w:val="22"/>
        </w:rPr>
        <w:t>The construction site supervisor and its representatives will be assigned by the Contracting Authority with another contract.</w:t>
      </w:r>
    </w:p>
    <w:p w:rsidR="00BE1FC1" w:rsidRDefault="00BE1FC1" w:rsidP="00721168">
      <w:pPr>
        <w:spacing w:before="120" w:after="120"/>
        <w:ind w:left="1134" w:hanging="567"/>
        <w:jc w:val="both"/>
        <w:rPr>
          <w:sz w:val="22"/>
          <w:szCs w:val="22"/>
        </w:rPr>
      </w:pPr>
      <w:r w:rsidRPr="00BE1FC1">
        <w:rPr>
          <w:sz w:val="22"/>
          <w:szCs w:val="22"/>
        </w:rPr>
        <w:t xml:space="preserve">5.3.    The site supervisor and its representatives have the powers and responsibilities described in the </w:t>
      </w:r>
      <w:r w:rsidR="00C723C9">
        <w:rPr>
          <w:sz w:val="22"/>
          <w:szCs w:val="22"/>
          <w:lang w:val="en-US"/>
        </w:rPr>
        <w:t>Macedonian</w:t>
      </w:r>
      <w:r w:rsidR="00C723C9" w:rsidRPr="00C723C9">
        <w:t xml:space="preserve"> </w:t>
      </w:r>
      <w:r w:rsidR="00C723C9" w:rsidRPr="00C723C9">
        <w:rPr>
          <w:sz w:val="22"/>
          <w:szCs w:val="22"/>
          <w:lang w:val="mk-MK"/>
        </w:rPr>
        <w:t>building law</w:t>
      </w:r>
      <w:r w:rsidRPr="00BE1FC1">
        <w:rPr>
          <w:sz w:val="22"/>
          <w:szCs w:val="22"/>
        </w:rPr>
        <w:t>.</w:t>
      </w:r>
    </w:p>
    <w:p w:rsidR="004F386E" w:rsidRDefault="001050EE" w:rsidP="004F386E">
      <w:pPr>
        <w:spacing w:before="120" w:after="120"/>
        <w:ind w:left="1134" w:hanging="567"/>
        <w:jc w:val="both"/>
        <w:rPr>
          <w:sz w:val="22"/>
          <w:szCs w:val="22"/>
        </w:rPr>
      </w:pPr>
      <w:r w:rsidRPr="00F162E3">
        <w:rPr>
          <w:bCs/>
          <w:sz w:val="22"/>
          <w:szCs w:val="22"/>
        </w:rPr>
        <w:t>5.4</w:t>
      </w:r>
      <w:r w:rsidRPr="00F162E3">
        <w:rPr>
          <w:sz w:val="22"/>
          <w:szCs w:val="22"/>
        </w:rPr>
        <w:tab/>
      </w:r>
      <w:r w:rsidR="00D15A2C" w:rsidRPr="00D15A2C">
        <w:rPr>
          <w:sz w:val="22"/>
          <w:szCs w:val="22"/>
        </w:rPr>
        <w:t>Instructions and/or orders issued by the Supervisor shall be by way of administrative orders. All administrative order by the Supervisor shall be issued in three copies, one for the Supervisor, one for the Contracting Authority and one for the Contractor.</w:t>
      </w:r>
    </w:p>
    <w:p w:rsidR="004F386E" w:rsidRPr="004F386E" w:rsidRDefault="004F386E" w:rsidP="004F386E">
      <w:pPr>
        <w:keepNext/>
        <w:spacing w:before="240"/>
        <w:ind w:left="1134" w:hanging="1134"/>
        <w:jc w:val="both"/>
        <w:rPr>
          <w:sz w:val="23"/>
          <w:szCs w:val="23"/>
        </w:rPr>
      </w:pPr>
      <w:r>
        <w:rPr>
          <w:b/>
          <w:bCs/>
          <w:sz w:val="23"/>
          <w:szCs w:val="23"/>
        </w:rPr>
        <w:t>Article 8</w:t>
      </w:r>
      <w:r>
        <w:rPr>
          <w:b/>
          <w:bCs/>
          <w:sz w:val="23"/>
          <w:szCs w:val="23"/>
        </w:rPr>
        <w:tab/>
        <w:t xml:space="preserve">Supply of documents </w:t>
      </w:r>
    </w:p>
    <w:p w:rsidR="004F386E" w:rsidRPr="00F162E3" w:rsidRDefault="004F386E" w:rsidP="00A12DBD">
      <w:pPr>
        <w:spacing w:before="120" w:after="120"/>
        <w:ind w:left="1134" w:hanging="567"/>
        <w:jc w:val="both"/>
        <w:rPr>
          <w:bCs/>
          <w:sz w:val="22"/>
          <w:szCs w:val="22"/>
        </w:rPr>
      </w:pPr>
      <w:r>
        <w:rPr>
          <w:sz w:val="22"/>
          <w:szCs w:val="22"/>
        </w:rPr>
        <w:t xml:space="preserve">8.1.   </w:t>
      </w:r>
      <w:r w:rsidRPr="004F386E">
        <w:rPr>
          <w:bCs/>
          <w:sz w:val="22"/>
          <w:szCs w:val="22"/>
        </w:rPr>
        <w:t xml:space="preserve">Within 15 days of the signing of the contract, the Contracting Authority shall provide to the Contractor and the Supervisor, free of charge, a copy of the drawings, documents for approval of the investment design and building permit prepared for the implementation of tasks, specifications and other contract documents.  </w:t>
      </w:r>
    </w:p>
    <w:p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 free access to its sites, facto</w:t>
      </w:r>
      <w:bookmarkStart w:id="13" w:name="_GoBack"/>
      <w:bookmarkEnd w:id="13"/>
      <w:r w:rsidRPr="003D764D">
        <w:rPr>
          <w:sz w:val="22"/>
          <w:szCs w:val="22"/>
        </w:rPr>
        <w:t xml:space="preserve">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rsidR="001050EE" w:rsidRPr="003D764D" w:rsidRDefault="001050EE" w:rsidP="003D764D">
      <w:pPr>
        <w:spacing w:after="240"/>
        <w:ind w:left="1134"/>
        <w:jc w:val="both"/>
        <w:rPr>
          <w:sz w:val="22"/>
          <w:szCs w:val="22"/>
        </w:rPr>
      </w:pPr>
      <w:r w:rsidRPr="003D764D">
        <w:rPr>
          <w:sz w:val="22"/>
          <w:szCs w:val="22"/>
        </w:rPr>
        <w:t xml:space="preserve">All correspondence between the </w:t>
      </w:r>
      <w:r w:rsidR="00E806A3">
        <w:rPr>
          <w:sz w:val="22"/>
          <w:szCs w:val="22"/>
        </w:rPr>
        <w:t>c</w:t>
      </w:r>
      <w:r w:rsidRPr="003D764D">
        <w:rPr>
          <w:sz w:val="22"/>
          <w:szCs w:val="22"/>
        </w:rPr>
        <w:t xml:space="preserve">ontractor and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or project </w:t>
      </w:r>
      <w:r w:rsidR="00E806A3">
        <w:rPr>
          <w:sz w:val="22"/>
          <w:szCs w:val="22"/>
        </w:rPr>
        <w:t>s</w:t>
      </w:r>
      <w:r w:rsidRPr="003D764D">
        <w:rPr>
          <w:sz w:val="22"/>
          <w:szCs w:val="22"/>
        </w:rPr>
        <w:t xml:space="preserve">upervisor must be copied, for information, to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 of the European Commission at the following official address:</w:t>
      </w:r>
    </w:p>
    <w:p w:rsidR="00D15A2C" w:rsidRPr="00D15A2C" w:rsidRDefault="00EC540E" w:rsidP="00EC540E">
      <w:pPr>
        <w:tabs>
          <w:tab w:val="left" w:pos="1134"/>
        </w:tabs>
        <w:spacing w:after="120"/>
        <w:jc w:val="both"/>
        <w:rPr>
          <w:sz w:val="22"/>
          <w:szCs w:val="22"/>
        </w:rPr>
      </w:pPr>
      <w:r>
        <w:rPr>
          <w:sz w:val="22"/>
          <w:szCs w:val="22"/>
        </w:rPr>
        <w:tab/>
      </w:r>
      <w:r>
        <w:rPr>
          <w:sz w:val="22"/>
          <w:szCs w:val="22"/>
        </w:rPr>
        <w:tab/>
      </w:r>
      <w:r>
        <w:rPr>
          <w:sz w:val="22"/>
          <w:szCs w:val="22"/>
        </w:rPr>
        <w:tab/>
      </w:r>
      <w:r w:rsidR="00D15A2C" w:rsidRPr="00D15A2C">
        <w:rPr>
          <w:sz w:val="22"/>
          <w:szCs w:val="22"/>
        </w:rPr>
        <w:t xml:space="preserve">Joint Secretariat </w:t>
      </w:r>
    </w:p>
    <w:p w:rsidR="00D15A2C" w:rsidRPr="00D15A2C" w:rsidRDefault="00EC540E" w:rsidP="00EC540E">
      <w:pPr>
        <w:tabs>
          <w:tab w:val="left" w:pos="1134"/>
        </w:tabs>
        <w:spacing w:after="120"/>
        <w:jc w:val="both"/>
        <w:rPr>
          <w:sz w:val="22"/>
          <w:szCs w:val="22"/>
        </w:rPr>
      </w:pPr>
      <w:r>
        <w:rPr>
          <w:sz w:val="22"/>
          <w:szCs w:val="22"/>
        </w:rPr>
        <w:tab/>
      </w:r>
      <w:r>
        <w:rPr>
          <w:sz w:val="22"/>
          <w:szCs w:val="22"/>
        </w:rPr>
        <w:tab/>
      </w:r>
      <w:r>
        <w:rPr>
          <w:sz w:val="22"/>
          <w:szCs w:val="22"/>
        </w:rPr>
        <w:tab/>
      </w:r>
      <w:r w:rsidR="00D15A2C" w:rsidRPr="00D15A2C">
        <w:rPr>
          <w:sz w:val="22"/>
          <w:szCs w:val="22"/>
        </w:rPr>
        <w:t>7 Marin Drinov Street</w:t>
      </w:r>
    </w:p>
    <w:p w:rsidR="00D15A2C" w:rsidRDefault="00EC540E" w:rsidP="00EC540E">
      <w:pPr>
        <w:tabs>
          <w:tab w:val="left" w:pos="1134"/>
        </w:tabs>
        <w:spacing w:after="120"/>
        <w:jc w:val="both"/>
        <w:rPr>
          <w:sz w:val="22"/>
          <w:szCs w:val="22"/>
        </w:rPr>
      </w:pPr>
      <w:r>
        <w:rPr>
          <w:sz w:val="22"/>
          <w:szCs w:val="22"/>
        </w:rPr>
        <w:tab/>
      </w:r>
      <w:r>
        <w:rPr>
          <w:sz w:val="22"/>
          <w:szCs w:val="22"/>
        </w:rPr>
        <w:tab/>
      </w:r>
      <w:r>
        <w:rPr>
          <w:sz w:val="22"/>
          <w:szCs w:val="22"/>
        </w:rPr>
        <w:tab/>
      </w:r>
      <w:r w:rsidR="00D15A2C" w:rsidRPr="00D15A2C">
        <w:rPr>
          <w:sz w:val="22"/>
          <w:szCs w:val="22"/>
        </w:rPr>
        <w:t>2500 Kyustendil</w:t>
      </w:r>
    </w:p>
    <w:p w:rsidR="00EC540E" w:rsidRPr="00D15A2C" w:rsidRDefault="00EC540E" w:rsidP="00EC540E">
      <w:pPr>
        <w:tabs>
          <w:tab w:val="left" w:pos="1134"/>
        </w:tabs>
        <w:spacing w:after="120"/>
        <w:jc w:val="both"/>
        <w:rPr>
          <w:sz w:val="22"/>
          <w:szCs w:val="22"/>
        </w:rPr>
      </w:pPr>
      <w:r>
        <w:rPr>
          <w:sz w:val="22"/>
          <w:szCs w:val="22"/>
        </w:rPr>
        <w:tab/>
      </w:r>
      <w:r>
        <w:rPr>
          <w:sz w:val="22"/>
          <w:szCs w:val="22"/>
        </w:rPr>
        <w:tab/>
      </w:r>
      <w:r>
        <w:rPr>
          <w:sz w:val="22"/>
          <w:szCs w:val="22"/>
        </w:rPr>
        <w:tab/>
        <w:t>Bulgaria</w:t>
      </w:r>
    </w:p>
    <w:p w:rsidR="001A72CD" w:rsidRPr="0089009D" w:rsidRDefault="001A72CD" w:rsidP="00D15A2C">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00EC540E" w:rsidRPr="00EC540E">
        <w:rPr>
          <w:bCs/>
          <w:sz w:val="22"/>
          <w:szCs w:val="22"/>
        </w:rPr>
        <w:t xml:space="preserve">The visibility measures must comply with rules laid down in the Communication and Visibility Manual for EU External Actions published by the European Commission - </w:t>
      </w:r>
      <w:hyperlink r:id="rId9" w:history="1">
        <w:r w:rsidR="00EC540E" w:rsidRPr="00F05A36">
          <w:rPr>
            <w:rStyle w:val="Hyperlink"/>
            <w:bCs/>
            <w:sz w:val="22"/>
            <w:szCs w:val="22"/>
          </w:rPr>
          <w:t>http://ec.europa.eu/europeaid/work/visibility/index_en.htm_en</w:t>
        </w:r>
      </w:hyperlink>
      <w:r w:rsidR="00EC540E">
        <w:rPr>
          <w:bCs/>
          <w:sz w:val="22"/>
          <w:szCs w:val="22"/>
        </w:rPr>
        <w:t xml:space="preserve"> </w:t>
      </w:r>
    </w:p>
    <w:p w:rsidR="001050EE" w:rsidRPr="003D764D" w:rsidRDefault="001050EE" w:rsidP="00811C13">
      <w:pPr>
        <w:spacing w:before="240"/>
        <w:ind w:left="1276" w:hanging="1276"/>
        <w:jc w:val="both"/>
        <w:rPr>
          <w:b/>
          <w:szCs w:val="24"/>
        </w:rPr>
      </w:pPr>
      <w:bookmarkStart w:id="14" w:name="_Toc76894421"/>
      <w:r w:rsidRPr="003D764D">
        <w:rPr>
          <w:b/>
          <w:szCs w:val="24"/>
        </w:rPr>
        <w:t>Article 15</w:t>
      </w:r>
      <w:r w:rsidRPr="003D764D">
        <w:rPr>
          <w:b/>
          <w:szCs w:val="24"/>
        </w:rPr>
        <w:tab/>
        <w:t>Performance guarantee</w:t>
      </w:r>
      <w:bookmarkEnd w:id="14"/>
    </w:p>
    <w:p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rsidR="001050EE" w:rsidRPr="00CA6498" w:rsidRDefault="001050EE" w:rsidP="00021EB3">
      <w:pPr>
        <w:spacing w:before="240"/>
        <w:ind w:left="1276" w:hanging="1276"/>
        <w:jc w:val="both"/>
        <w:rPr>
          <w:b/>
          <w:szCs w:val="24"/>
        </w:rPr>
      </w:pPr>
      <w:bookmarkStart w:id="15"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5"/>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Pr="00CA6498" w:rsidRDefault="00F2670B" w:rsidP="00DD5312">
      <w:pPr>
        <w:tabs>
          <w:tab w:val="left" w:pos="1276"/>
        </w:tabs>
        <w:spacing w:before="240" w:after="120"/>
        <w:ind w:left="1276" w:hanging="992"/>
        <w:jc w:val="both"/>
        <w:rPr>
          <w:sz w:val="22"/>
          <w:szCs w:val="22"/>
        </w:rPr>
      </w:pPr>
      <w:r w:rsidRPr="00CA6498">
        <w:rPr>
          <w:sz w:val="22"/>
          <w:szCs w:val="22"/>
        </w:rPr>
        <w:lastRenderedPageBreak/>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1050EE" w:rsidRPr="00021EB3" w:rsidRDefault="001050EE" w:rsidP="00021EB3">
      <w:pPr>
        <w:spacing w:before="240"/>
        <w:ind w:left="1276" w:hanging="1276"/>
        <w:jc w:val="both"/>
        <w:rPr>
          <w:b/>
          <w:szCs w:val="24"/>
        </w:rPr>
      </w:pPr>
      <w:bookmarkStart w:id="16" w:name="_Toc76894423"/>
      <w:r w:rsidRPr="00CA6498">
        <w:rPr>
          <w:b/>
          <w:szCs w:val="24"/>
        </w:rPr>
        <w:t>Article 17</w:t>
      </w:r>
      <w:r w:rsidRPr="00CA6498">
        <w:rPr>
          <w:b/>
          <w:szCs w:val="24"/>
        </w:rPr>
        <w:tab/>
        <w:t>Programme</w:t>
      </w:r>
      <w:bookmarkEnd w:id="16"/>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w:t>
      </w:r>
      <w:r w:rsidR="00692CA6">
        <w:rPr>
          <w:sz w:val="22"/>
          <w:szCs w:val="22"/>
        </w:rPr>
        <w:t xml:space="preserve"> </w:t>
      </w:r>
      <w:r w:rsidRPr="003B6B13">
        <w:rPr>
          <w:sz w:val="22"/>
          <w:szCs w:val="22"/>
        </w:rPr>
        <w:t>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BE1FC1" w:rsidRPr="00BE1FC1">
        <w:rPr>
          <w:sz w:val="22"/>
          <w:szCs w:val="22"/>
        </w:rPr>
        <w:t>Not applicable</w:t>
      </w:r>
    </w:p>
    <w:p w:rsidR="001050EE" w:rsidRPr="00021EB3" w:rsidRDefault="001050EE" w:rsidP="00021EB3">
      <w:pPr>
        <w:spacing w:before="240"/>
        <w:ind w:left="1276" w:hanging="1276"/>
        <w:jc w:val="both"/>
        <w:rPr>
          <w:b/>
          <w:szCs w:val="24"/>
        </w:rPr>
      </w:pPr>
      <w:bookmarkStart w:id="17" w:name="_Toc76894431"/>
      <w:r w:rsidRPr="00021EB3">
        <w:rPr>
          <w:b/>
          <w:szCs w:val="24"/>
        </w:rPr>
        <w:t>Article 34</w:t>
      </w:r>
      <w:r w:rsidRPr="00021EB3">
        <w:rPr>
          <w:b/>
          <w:szCs w:val="24"/>
        </w:rPr>
        <w:tab/>
        <w:t>Period of implementation of tasks</w:t>
      </w:r>
      <w:bookmarkEnd w:id="17"/>
    </w:p>
    <w:p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EC540E" w:rsidRPr="00EC540E">
        <w:rPr>
          <w:rFonts w:ascii="Times New Roman" w:hAnsi="Times New Roman"/>
          <w:b w:val="0"/>
          <w:bCs/>
          <w:sz w:val="22"/>
          <w:szCs w:val="22"/>
          <w:lang w:val="en-GB"/>
        </w:rPr>
        <w:t>P</w:t>
      </w:r>
      <w:r w:rsidRPr="00EC540E">
        <w:rPr>
          <w:rFonts w:ascii="Times New Roman" w:hAnsi="Times New Roman"/>
          <w:b w:val="0"/>
          <w:bCs/>
          <w:sz w:val="22"/>
          <w:szCs w:val="22"/>
          <w:lang w:val="en-GB"/>
        </w:rPr>
        <w:t>eriod of implementation of tasks</w:t>
      </w:r>
      <w:r w:rsidR="00E83124" w:rsidRPr="00EC540E">
        <w:rPr>
          <w:rFonts w:ascii="Times New Roman" w:hAnsi="Times New Roman"/>
          <w:b w:val="0"/>
          <w:bCs/>
          <w:sz w:val="22"/>
          <w:szCs w:val="22"/>
          <w:lang w:val="en-GB"/>
        </w:rPr>
        <w:t>:</w:t>
      </w:r>
      <w:r w:rsidR="00EC540E" w:rsidRPr="00EC540E">
        <w:rPr>
          <w:rFonts w:ascii="Times New Roman" w:hAnsi="Times New Roman"/>
          <w:b w:val="0"/>
          <w:bCs/>
          <w:sz w:val="22"/>
          <w:szCs w:val="22"/>
          <w:lang w:val="en-GB"/>
        </w:rPr>
        <w:t xml:space="preserve"> 6 (six) </w:t>
      </w:r>
      <w:r w:rsidRPr="00EC540E">
        <w:rPr>
          <w:rFonts w:ascii="Times New Roman" w:hAnsi="Times New Roman"/>
          <w:b w:val="0"/>
          <w:bCs/>
          <w:sz w:val="22"/>
          <w:szCs w:val="22"/>
          <w:lang w:val="en-GB"/>
        </w:rPr>
        <w:t xml:space="preserve">months </w:t>
      </w:r>
    </w:p>
    <w:p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9" w:name="_Toc76894434"/>
      <w:r w:rsidRPr="00116CA6">
        <w:rPr>
          <w:b/>
          <w:szCs w:val="24"/>
        </w:rPr>
        <w:t>Article 39</w:t>
      </w:r>
      <w:r w:rsidRPr="00116CA6">
        <w:rPr>
          <w:b/>
          <w:szCs w:val="24"/>
        </w:rPr>
        <w:tab/>
        <w:t>Work register</w:t>
      </w:r>
      <w:bookmarkEnd w:id="19"/>
    </w:p>
    <w:p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r>
      <w:r w:rsidR="00EC540E" w:rsidRPr="00EC540E">
        <w:rPr>
          <w:sz w:val="22"/>
          <w:szCs w:val="22"/>
        </w:rPr>
        <w:t>The work register is required and will be accomplished according to Art. 39 in General Conditions</w:t>
      </w:r>
    </w:p>
    <w:p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00EC540E" w:rsidRPr="00EC540E">
        <w:rPr>
          <w:sz w:val="22"/>
          <w:szCs w:val="22"/>
        </w:rPr>
        <w:t>The statements shall form an integral part of the work register but may, where appropriate, be recorded in separate documents. The statements for work registration will be complied by the Contractor and will be approved by the Investor control at the same time.</w:t>
      </w:r>
    </w:p>
    <w:p w:rsidR="001050EE" w:rsidRPr="00116CA6" w:rsidRDefault="001050EE" w:rsidP="00A12DBD">
      <w:pPr>
        <w:spacing w:before="240"/>
        <w:ind w:left="1276" w:hanging="1276"/>
        <w:jc w:val="both"/>
        <w:rPr>
          <w:b/>
          <w:szCs w:val="24"/>
        </w:rPr>
      </w:pPr>
      <w:bookmarkStart w:id="20" w:name="_Toc76894435"/>
      <w:r w:rsidRPr="00116CA6">
        <w:rPr>
          <w:b/>
          <w:szCs w:val="24"/>
        </w:rPr>
        <w:t>Article 40</w:t>
      </w:r>
      <w:r w:rsidRPr="00116CA6">
        <w:rPr>
          <w:b/>
          <w:szCs w:val="24"/>
        </w:rPr>
        <w:tab/>
        <w:t>Origin and quality of works and materials</w:t>
      </w:r>
      <w:bookmarkEnd w:id="20"/>
    </w:p>
    <w:p w:rsidR="00C723C9" w:rsidRDefault="001050EE" w:rsidP="00B52397">
      <w:pPr>
        <w:pStyle w:val="Heading2"/>
        <w:keepNext w:val="0"/>
        <w:numPr>
          <w:ilvl w:val="1"/>
          <w:numId w:val="0"/>
        </w:numPr>
        <w:spacing w:before="120" w:after="120"/>
        <w:ind w:left="1276" w:hanging="709"/>
        <w:rPr>
          <w:rFonts w:ascii="Times New Roman" w:hAnsi="Times New Roman"/>
          <w:b w:val="0"/>
          <w:bCs/>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00C723C9" w:rsidRPr="00C723C9">
        <w:rPr>
          <w:rFonts w:ascii="Times New Roman" w:hAnsi="Times New Roman"/>
          <w:b w:val="0"/>
          <w:bCs/>
          <w:sz w:val="22"/>
          <w:szCs w:val="22"/>
          <w:lang w:val="en-GB"/>
        </w:rPr>
        <w:t>All goods purchased must originate in a Member State of the European Union or a country covered by the Interreg-IPA CBC Programme Bulgaria-North Macedonia 2014-2020, CCI No 2014TC16I5CB006. For these purposes, ‘origin’ means the place where the goods are mined, grown, produced or manufactured and/or from which services are provided. The origin of the goods must be determined according to the EU Customs Code or to the relevant international agreement applicable. In case the amount of the supplied goods is below 100 000 EUR, all supplies under this contract may originate from any country.</w:t>
      </w:r>
    </w:p>
    <w:p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Pr="00116CA6" w:rsidRDefault="001050EE" w:rsidP="00116CA6">
      <w:pPr>
        <w:spacing w:before="240"/>
        <w:ind w:left="1276" w:hanging="1276"/>
        <w:jc w:val="both"/>
        <w:rPr>
          <w:b/>
          <w:szCs w:val="24"/>
        </w:rPr>
      </w:pPr>
      <w:bookmarkStart w:id="21" w:name="_Toc76894437"/>
      <w:r w:rsidRPr="00116CA6">
        <w:rPr>
          <w:b/>
          <w:szCs w:val="24"/>
        </w:rPr>
        <w:t>Article 43</w:t>
      </w:r>
      <w:r w:rsidRPr="00116CA6">
        <w:rPr>
          <w:b/>
          <w:szCs w:val="24"/>
        </w:rPr>
        <w:tab/>
        <w:t>Ownership of plant and materials</w:t>
      </w:r>
      <w:bookmarkEnd w:id="21"/>
    </w:p>
    <w:p w:rsidR="00DD5312" w:rsidRDefault="001050EE" w:rsidP="00A12DBD">
      <w:pPr>
        <w:spacing w:before="120" w:after="120"/>
        <w:ind w:left="1276" w:hanging="709"/>
        <w:jc w:val="both"/>
        <w:rPr>
          <w:sz w:val="22"/>
          <w:szCs w:val="22"/>
          <w:highlight w:val="yellow"/>
        </w:rPr>
      </w:pPr>
      <w:r w:rsidRPr="00A12DBD">
        <w:rPr>
          <w:bCs/>
          <w:sz w:val="22"/>
          <w:szCs w:val="22"/>
        </w:rPr>
        <w:lastRenderedPageBreak/>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w:t>
      </w:r>
      <w:r w:rsidRPr="00721168">
        <w:rPr>
          <w:sz w:val="22"/>
          <w:szCs w:val="22"/>
        </w:rPr>
        <w:t>in</w:t>
      </w:r>
      <w:r w:rsidR="00721168" w:rsidRPr="00721168">
        <w:rPr>
          <w:sz w:val="22"/>
          <w:szCs w:val="22"/>
        </w:rPr>
        <w:t xml:space="preserve"> </w:t>
      </w:r>
      <w:r w:rsidRPr="00721168">
        <w:rPr>
          <w:sz w:val="22"/>
          <w:szCs w:val="22"/>
        </w:rPr>
        <w:t>euro</w:t>
      </w:r>
      <w:r w:rsidR="00721168" w:rsidRPr="00721168">
        <w:rPr>
          <w:sz w:val="22"/>
          <w:szCs w:val="22"/>
        </w:rPr>
        <w:t xml:space="preserve"> or </w:t>
      </w:r>
      <w:r w:rsidRPr="00721168">
        <w:rPr>
          <w:sz w:val="22"/>
          <w:szCs w:val="22"/>
        </w:rPr>
        <w:t>national currency</w:t>
      </w:r>
      <w:r w:rsidR="00721168">
        <w:rPr>
          <w:sz w:val="22"/>
          <w:szCs w:val="22"/>
        </w:rPr>
        <w:t>.</w:t>
      </w:r>
      <w:r w:rsidRPr="00A12DBD">
        <w:rPr>
          <w:sz w:val="22"/>
          <w:szCs w:val="22"/>
        </w:rPr>
        <w:t xml:space="preserve"> </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412B82" w:rsidRDefault="00A12DBD" w:rsidP="006C3F3C">
      <w:pPr>
        <w:ind w:left="1276" w:hanging="709"/>
        <w:jc w:val="both"/>
        <w:rPr>
          <w:snapToGrid/>
          <w:sz w:val="22"/>
          <w:szCs w:val="22"/>
          <w:highlight w:val="yellow"/>
        </w:rPr>
      </w:pPr>
      <w:r w:rsidRPr="00CA6498">
        <w:rPr>
          <w:sz w:val="22"/>
          <w:szCs w:val="22"/>
        </w:rPr>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412B82">
        <w:rPr>
          <w:sz w:val="22"/>
          <w:szCs w:val="22"/>
        </w:rPr>
        <w:t>.</w:t>
      </w:r>
    </w:p>
    <w:p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1276"/>
        <w:gridCol w:w="2552"/>
        <w:gridCol w:w="3890"/>
      </w:tblGrid>
      <w:tr w:rsidR="00A44D93" w:rsidRPr="00CA6498" w:rsidTr="00CA6498">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CA6498">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rsidR="00A44D93" w:rsidRPr="00CA6498" w:rsidRDefault="00A44D93" w:rsidP="005967FA">
            <w:pPr>
              <w:spacing w:before="120" w:after="120"/>
              <w:jc w:val="right"/>
              <w:rPr>
                <w:sz w:val="22"/>
                <w:szCs w:val="22"/>
              </w:rPr>
            </w:pPr>
            <w:r w:rsidRPr="00CA6498">
              <w:rPr>
                <w:sz w:val="22"/>
                <w:szCs w:val="22"/>
              </w:rPr>
              <w:t>0%</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rsidTr="00CA6498">
        <w:tc>
          <w:tcPr>
            <w:tcW w:w="533" w:type="dxa"/>
            <w:shd w:val="clear" w:color="auto" w:fill="auto"/>
          </w:tcPr>
          <w:p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rsidR="00A44D93" w:rsidRPr="00CA6498" w:rsidRDefault="00BE1FC1" w:rsidP="00BE1FC1">
            <w:pPr>
              <w:spacing w:before="120" w:after="120"/>
              <w:jc w:val="center"/>
              <w:rPr>
                <w:sz w:val="22"/>
                <w:szCs w:val="22"/>
              </w:rPr>
            </w:pPr>
            <w:r>
              <w:rPr>
                <w:sz w:val="22"/>
                <w:szCs w:val="22"/>
              </w:rPr>
              <w:t xml:space="preserve">20 </w:t>
            </w:r>
            <w:r w:rsidR="00A44D93" w:rsidRPr="00CA6498">
              <w:rPr>
                <w:sz w:val="22"/>
                <w:szCs w:val="22"/>
              </w:rPr>
              <w:t>%</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B77041" w:rsidRPr="005967FA" w:rsidRDefault="00BE1FC1" w:rsidP="00215FF5">
            <w:pPr>
              <w:spacing w:before="120" w:after="120"/>
              <w:jc w:val="both"/>
              <w:rPr>
                <w:sz w:val="22"/>
                <w:szCs w:val="22"/>
              </w:rPr>
            </w:pPr>
            <w:r>
              <w:rPr>
                <w:sz w:val="22"/>
                <w:szCs w:val="22"/>
              </w:rPr>
              <w:t>After completion of 20% of the firm quantities for which the Contractor submitted its all-in price.</w:t>
            </w:r>
          </w:p>
        </w:tc>
      </w:tr>
      <w:tr w:rsidR="00A44D93" w:rsidRPr="005967FA" w:rsidTr="00CA6498">
        <w:tc>
          <w:tcPr>
            <w:tcW w:w="533" w:type="dxa"/>
            <w:shd w:val="clear" w:color="auto" w:fill="auto"/>
          </w:tcPr>
          <w:p w:rsidR="00A44D93" w:rsidRPr="00CA6498" w:rsidRDefault="00BE1FC1" w:rsidP="005967FA">
            <w:pPr>
              <w:spacing w:before="120" w:after="120"/>
              <w:jc w:val="both"/>
              <w:rPr>
                <w:sz w:val="22"/>
                <w:szCs w:val="22"/>
              </w:rPr>
            </w:pPr>
            <w:r>
              <w:rPr>
                <w:sz w:val="22"/>
                <w:szCs w:val="22"/>
              </w:rPr>
              <w:t>3</w:t>
            </w:r>
            <w:r w:rsidR="00A44D93" w:rsidRPr="00CA6498">
              <w:rPr>
                <w:sz w:val="22"/>
                <w:szCs w:val="22"/>
              </w:rPr>
              <w:t>.</w:t>
            </w:r>
          </w:p>
        </w:tc>
        <w:tc>
          <w:tcPr>
            <w:tcW w:w="1276" w:type="dxa"/>
            <w:shd w:val="clear" w:color="auto" w:fill="auto"/>
          </w:tcPr>
          <w:p w:rsidR="00A44D93" w:rsidRPr="00CA6498" w:rsidRDefault="00BE1FC1" w:rsidP="00BE1FC1">
            <w:pPr>
              <w:spacing w:before="120" w:after="120"/>
              <w:jc w:val="center"/>
              <w:rPr>
                <w:sz w:val="22"/>
                <w:szCs w:val="22"/>
              </w:rPr>
            </w:pPr>
            <w:r>
              <w:rPr>
                <w:sz w:val="22"/>
                <w:szCs w:val="22"/>
              </w:rPr>
              <w:t>20</w:t>
            </w:r>
            <w:r w:rsidR="00A44D93" w:rsidRPr="00CA6498">
              <w:rPr>
                <w:sz w:val="22"/>
                <w:szCs w:val="22"/>
              </w:rPr>
              <w:t>%</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A44D93" w:rsidRPr="00CA6498" w:rsidRDefault="00BE1FC1" w:rsidP="00925D95">
            <w:pPr>
              <w:spacing w:before="120" w:after="120"/>
              <w:jc w:val="both"/>
              <w:rPr>
                <w:sz w:val="22"/>
                <w:szCs w:val="22"/>
              </w:rPr>
            </w:pPr>
            <w:r>
              <w:rPr>
                <w:sz w:val="22"/>
                <w:szCs w:val="22"/>
              </w:rPr>
              <w:t>After completion of 40% of the firm quantities for which the Contractor submitted its all-in price.</w:t>
            </w:r>
          </w:p>
        </w:tc>
      </w:tr>
      <w:tr w:rsidR="00A44D93" w:rsidRPr="005967FA" w:rsidTr="00CA6498">
        <w:tc>
          <w:tcPr>
            <w:tcW w:w="533" w:type="dxa"/>
            <w:shd w:val="clear" w:color="auto" w:fill="auto"/>
          </w:tcPr>
          <w:p w:rsidR="00A44D93" w:rsidRPr="00CA6498" w:rsidRDefault="00BE1FC1" w:rsidP="005967FA">
            <w:pPr>
              <w:spacing w:before="120" w:after="120"/>
              <w:jc w:val="both"/>
              <w:rPr>
                <w:sz w:val="22"/>
                <w:szCs w:val="22"/>
              </w:rPr>
            </w:pPr>
            <w:r>
              <w:rPr>
                <w:sz w:val="22"/>
                <w:szCs w:val="22"/>
              </w:rPr>
              <w:t>4</w:t>
            </w:r>
          </w:p>
        </w:tc>
        <w:tc>
          <w:tcPr>
            <w:tcW w:w="1276" w:type="dxa"/>
            <w:shd w:val="clear" w:color="auto" w:fill="auto"/>
          </w:tcPr>
          <w:p w:rsidR="00A44D93" w:rsidRPr="00CA6498" w:rsidRDefault="00BE1FC1" w:rsidP="00BE1FC1">
            <w:pPr>
              <w:spacing w:before="120" w:after="120"/>
              <w:jc w:val="center"/>
              <w:rPr>
                <w:sz w:val="22"/>
                <w:szCs w:val="22"/>
              </w:rPr>
            </w:pPr>
            <w:r>
              <w:rPr>
                <w:sz w:val="22"/>
                <w:szCs w:val="22"/>
              </w:rPr>
              <w:t>20</w:t>
            </w:r>
            <w:r w:rsidR="00416BB4" w:rsidRPr="00CA6498">
              <w:rPr>
                <w:sz w:val="22"/>
                <w:szCs w:val="22"/>
              </w:rPr>
              <w:t>%</w:t>
            </w:r>
          </w:p>
        </w:tc>
        <w:tc>
          <w:tcPr>
            <w:tcW w:w="2552" w:type="dxa"/>
            <w:shd w:val="clear" w:color="auto" w:fill="auto"/>
          </w:tcPr>
          <w:p w:rsidR="00A44D93" w:rsidRPr="00CA6498" w:rsidRDefault="00416BB4"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A44D93" w:rsidRPr="00CA6498" w:rsidRDefault="00BE1FC1" w:rsidP="003C17E3">
            <w:pPr>
              <w:spacing w:before="120" w:after="120"/>
              <w:jc w:val="both"/>
              <w:rPr>
                <w:sz w:val="22"/>
                <w:szCs w:val="22"/>
              </w:rPr>
            </w:pPr>
            <w:r>
              <w:rPr>
                <w:sz w:val="22"/>
                <w:szCs w:val="22"/>
              </w:rPr>
              <w:t>After completion of 60% of the firm quantities for which the Contractor submitted its all-in price.</w:t>
            </w:r>
          </w:p>
        </w:tc>
      </w:tr>
      <w:tr w:rsidR="00BE1FC1" w:rsidRPr="005967FA" w:rsidTr="00CA6498">
        <w:tc>
          <w:tcPr>
            <w:tcW w:w="533" w:type="dxa"/>
            <w:shd w:val="clear" w:color="auto" w:fill="auto"/>
          </w:tcPr>
          <w:p w:rsidR="00BE1FC1" w:rsidRPr="00CA6498" w:rsidRDefault="00BE1FC1" w:rsidP="005967FA">
            <w:pPr>
              <w:spacing w:before="120" w:after="120"/>
              <w:jc w:val="both"/>
              <w:rPr>
                <w:sz w:val="22"/>
                <w:szCs w:val="22"/>
              </w:rPr>
            </w:pPr>
            <w:r>
              <w:rPr>
                <w:sz w:val="22"/>
                <w:szCs w:val="22"/>
              </w:rPr>
              <w:t>5</w:t>
            </w:r>
          </w:p>
        </w:tc>
        <w:tc>
          <w:tcPr>
            <w:tcW w:w="1276" w:type="dxa"/>
            <w:shd w:val="clear" w:color="auto" w:fill="auto"/>
          </w:tcPr>
          <w:p w:rsidR="00BE1FC1" w:rsidRDefault="00867699" w:rsidP="00BE1FC1">
            <w:pPr>
              <w:spacing w:before="120" w:after="120"/>
              <w:jc w:val="center"/>
              <w:rPr>
                <w:sz w:val="22"/>
                <w:szCs w:val="22"/>
              </w:rPr>
            </w:pPr>
            <w:r>
              <w:rPr>
                <w:sz w:val="22"/>
                <w:szCs w:val="22"/>
              </w:rPr>
              <w:t>3</w:t>
            </w:r>
            <w:r w:rsidR="00BE1FC1">
              <w:rPr>
                <w:sz w:val="22"/>
                <w:szCs w:val="22"/>
              </w:rPr>
              <w:t>0%</w:t>
            </w:r>
          </w:p>
        </w:tc>
        <w:tc>
          <w:tcPr>
            <w:tcW w:w="2552" w:type="dxa"/>
            <w:shd w:val="clear" w:color="auto" w:fill="auto"/>
          </w:tcPr>
          <w:p w:rsidR="00BE1FC1" w:rsidRPr="00CA6498" w:rsidRDefault="00BE1FC1" w:rsidP="005967FA">
            <w:pPr>
              <w:spacing w:before="120" w:after="120"/>
              <w:jc w:val="both"/>
              <w:rPr>
                <w:sz w:val="22"/>
                <w:szCs w:val="22"/>
              </w:rPr>
            </w:pPr>
            <w:r w:rsidRPr="00BE1FC1">
              <w:rPr>
                <w:sz w:val="22"/>
                <w:szCs w:val="22"/>
              </w:rPr>
              <w:t>Interim payment of Article 50</w:t>
            </w:r>
          </w:p>
        </w:tc>
        <w:tc>
          <w:tcPr>
            <w:tcW w:w="3890" w:type="dxa"/>
            <w:shd w:val="clear" w:color="auto" w:fill="auto"/>
          </w:tcPr>
          <w:p w:rsidR="00BE1FC1" w:rsidRDefault="00BE1FC1" w:rsidP="003C17E3">
            <w:pPr>
              <w:spacing w:before="120" w:after="120"/>
              <w:jc w:val="both"/>
              <w:rPr>
                <w:sz w:val="22"/>
                <w:szCs w:val="22"/>
              </w:rPr>
            </w:pPr>
            <w:r w:rsidRPr="00BE1FC1">
              <w:rPr>
                <w:sz w:val="22"/>
                <w:szCs w:val="22"/>
              </w:rPr>
              <w:t>After completion of</w:t>
            </w:r>
            <w:r>
              <w:rPr>
                <w:sz w:val="22"/>
                <w:szCs w:val="22"/>
              </w:rPr>
              <w:t xml:space="preserve"> 10</w:t>
            </w:r>
            <w:r w:rsidRPr="00BE1FC1">
              <w:rPr>
                <w:sz w:val="22"/>
                <w:szCs w:val="22"/>
              </w:rPr>
              <w:t>0% of the firm quantities for which the Contractor submitted its all-in price.</w:t>
            </w:r>
          </w:p>
        </w:tc>
      </w:tr>
      <w:tr w:rsidR="00A44D93" w:rsidRPr="005967FA" w:rsidTr="00CA6498">
        <w:tc>
          <w:tcPr>
            <w:tcW w:w="533" w:type="dxa"/>
            <w:shd w:val="clear" w:color="auto" w:fill="auto"/>
          </w:tcPr>
          <w:p w:rsidR="00A44D93" w:rsidRPr="00CA6498" w:rsidRDefault="00BE1FC1" w:rsidP="005967FA">
            <w:pPr>
              <w:spacing w:before="120" w:after="120"/>
              <w:jc w:val="both"/>
              <w:rPr>
                <w:sz w:val="22"/>
                <w:szCs w:val="22"/>
              </w:rPr>
            </w:pPr>
            <w:r>
              <w:rPr>
                <w:sz w:val="22"/>
                <w:szCs w:val="22"/>
              </w:rPr>
              <w:lastRenderedPageBreak/>
              <w:t>6</w:t>
            </w:r>
          </w:p>
        </w:tc>
        <w:tc>
          <w:tcPr>
            <w:tcW w:w="1276" w:type="dxa"/>
            <w:shd w:val="clear" w:color="auto" w:fill="auto"/>
          </w:tcPr>
          <w:p w:rsidR="00A44D93" w:rsidRPr="00CA6498" w:rsidRDefault="00416BB4" w:rsidP="005967FA">
            <w:pPr>
              <w:spacing w:before="120" w:after="120"/>
              <w:jc w:val="right"/>
              <w:rPr>
                <w:sz w:val="22"/>
                <w:szCs w:val="22"/>
              </w:rPr>
            </w:pPr>
            <w:r w:rsidRPr="00CA6498">
              <w:rPr>
                <w:sz w:val="22"/>
                <w:szCs w:val="22"/>
              </w:rPr>
              <w:t>10%</w:t>
            </w:r>
          </w:p>
        </w:tc>
        <w:tc>
          <w:tcPr>
            <w:tcW w:w="2552" w:type="dxa"/>
            <w:shd w:val="clear" w:color="auto" w:fill="auto"/>
          </w:tcPr>
          <w:p w:rsidR="00A44D93" w:rsidRPr="00CA6498" w:rsidRDefault="00416BB4" w:rsidP="005967FA">
            <w:pPr>
              <w:spacing w:before="120" w:after="120"/>
              <w:jc w:val="both"/>
              <w:rPr>
                <w:sz w:val="22"/>
                <w:szCs w:val="22"/>
              </w:rPr>
            </w:pPr>
            <w:r w:rsidRPr="00CA6498">
              <w:rPr>
                <w:sz w:val="22"/>
                <w:szCs w:val="22"/>
              </w:rPr>
              <w:t>Retention money of Article 47</w:t>
            </w:r>
          </w:p>
        </w:tc>
        <w:tc>
          <w:tcPr>
            <w:tcW w:w="3890" w:type="dxa"/>
            <w:shd w:val="clear" w:color="auto" w:fill="auto"/>
          </w:tcPr>
          <w:p w:rsidR="00A44D93" w:rsidRPr="00CA6498" w:rsidRDefault="00416BB4" w:rsidP="003C17E3">
            <w:pPr>
              <w:spacing w:before="120" w:after="120"/>
              <w:jc w:val="both"/>
              <w:rPr>
                <w:sz w:val="22"/>
                <w:szCs w:val="22"/>
              </w:rPr>
            </w:pPr>
            <w:r w:rsidRPr="00CA6498">
              <w:rPr>
                <w:sz w:val="22"/>
                <w:szCs w:val="22"/>
              </w:rPr>
              <w:t xml:space="preserve">Within 45 days of the issuing of the signed </w:t>
            </w:r>
            <w:r w:rsidR="00B6292A">
              <w:rPr>
                <w:sz w:val="22"/>
                <w:szCs w:val="22"/>
              </w:rPr>
              <w:t>f</w:t>
            </w:r>
            <w:r w:rsidRPr="00CA6498">
              <w:rPr>
                <w:sz w:val="22"/>
                <w:szCs w:val="22"/>
              </w:rPr>
              <w:t>inal statement of account</w:t>
            </w:r>
          </w:p>
        </w:tc>
      </w:tr>
    </w:tbl>
    <w:p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rsidR="00F2670B" w:rsidRPr="00F2670B" w:rsidRDefault="001050EE" w:rsidP="00BE1FC1">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BE1FC1" w:rsidRPr="00BE1FC1">
        <w:rPr>
          <w:sz w:val="22"/>
          <w:szCs w:val="22"/>
          <w:lang w:bidi="kn-IN"/>
        </w:rPr>
        <w:t>Any disputes arising out of or relating to this Contract which cannot be settled otherwise shall be referred to the exclusive jurisdiction of K</w:t>
      </w:r>
      <w:r w:rsidR="00BE1FC1">
        <w:rPr>
          <w:sz w:val="22"/>
          <w:szCs w:val="22"/>
          <w:lang w:bidi="kn-IN"/>
        </w:rPr>
        <w:t>riva Palanka</w:t>
      </w:r>
      <w:r w:rsidR="00BE1FC1" w:rsidRPr="00BE1FC1">
        <w:rPr>
          <w:sz w:val="22"/>
          <w:szCs w:val="22"/>
          <w:lang w:bidi="kn-IN"/>
        </w:rPr>
        <w:t xml:space="preserve"> Primary Court in accordance with the national legislation of the state of the Contracting Authority.</w:t>
      </w:r>
    </w:p>
    <w:p w:rsidR="004321C9" w:rsidRPr="00BE1FC1" w:rsidRDefault="004321C9" w:rsidP="004C6937">
      <w:pPr>
        <w:keepNext/>
        <w:keepLines/>
        <w:tabs>
          <w:tab w:val="left" w:pos="1134"/>
        </w:tabs>
        <w:spacing w:before="240" w:after="120"/>
        <w:ind w:left="1134" w:hanging="1134"/>
        <w:jc w:val="both"/>
        <w:rPr>
          <w:b/>
          <w:szCs w:val="24"/>
        </w:rPr>
      </w:pPr>
      <w:r w:rsidRPr="00BE1FC1">
        <w:rPr>
          <w:b/>
          <w:szCs w:val="24"/>
        </w:rPr>
        <w:t>Article 72</w:t>
      </w:r>
      <w:r w:rsidRPr="00BE1FC1">
        <w:rPr>
          <w:b/>
          <w:szCs w:val="24"/>
        </w:rPr>
        <w:tab/>
        <w:t xml:space="preserve">Data </w:t>
      </w:r>
      <w:r w:rsidR="00B6292A" w:rsidRPr="00BE1FC1">
        <w:rPr>
          <w:b/>
          <w:szCs w:val="24"/>
        </w:rPr>
        <w:t>p</w:t>
      </w:r>
      <w:r w:rsidRPr="00BE1FC1">
        <w:rPr>
          <w:b/>
          <w:szCs w:val="24"/>
        </w:rPr>
        <w:t>rotection</w:t>
      </w:r>
    </w:p>
    <w:p w:rsidR="00127C86" w:rsidRPr="00BE1FC1" w:rsidRDefault="00127C86" w:rsidP="004C6937">
      <w:pPr>
        <w:jc w:val="both"/>
        <w:rPr>
          <w:sz w:val="22"/>
          <w:szCs w:val="22"/>
        </w:rPr>
      </w:pPr>
      <w:r>
        <w:rPr>
          <w:sz w:val="22"/>
          <w:szCs w:val="22"/>
        </w:rPr>
        <w:t xml:space="preserve"> </w:t>
      </w:r>
      <w:r w:rsidRPr="00BE1FC1">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127C86" w:rsidRPr="005C0DEE" w:rsidRDefault="00127C86" w:rsidP="004C6937">
      <w:pPr>
        <w:jc w:val="both"/>
        <w:rPr>
          <w:sz w:val="22"/>
          <w:szCs w:val="22"/>
          <w:u w:val="single"/>
        </w:rPr>
      </w:pPr>
      <w:r w:rsidRPr="00BE1FC1">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E1FC1">
        <w:rPr>
          <w:rStyle w:val="FootnoteReference"/>
          <w:sz w:val="22"/>
          <w:szCs w:val="22"/>
        </w:rPr>
        <w:footnoteReference w:id="1"/>
      </w:r>
      <w:r w:rsidRPr="00BE1FC1">
        <w:rPr>
          <w:sz w:val="22"/>
          <w:szCs w:val="22"/>
        </w:rPr>
        <w:t xml:space="preserve"> and as detailed in the specific privacy statement published at ePRAG.</w:t>
      </w:r>
      <w:r w:rsidRPr="00BE1FC1">
        <w:rPr>
          <w:sz w:val="22"/>
          <w:szCs w:val="22"/>
          <w:u w:val="single"/>
        </w:rPr>
        <w:t>]</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szCs w:val="22"/>
        </w:rPr>
        <w:t>* * *</w:t>
      </w:r>
    </w:p>
    <w:sectPr w:rsidR="00E5391D" w:rsidRPr="00E725FE" w:rsidSect="00CA6498">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3D3" w:rsidRPr="00E725FE" w:rsidRDefault="00CB23D3">
      <w:r w:rsidRPr="00E725FE">
        <w:separator/>
      </w:r>
    </w:p>
  </w:endnote>
  <w:endnote w:type="continuationSeparator" w:id="0">
    <w:p w:rsidR="00CB23D3" w:rsidRPr="00E725FE" w:rsidRDefault="00CB23D3">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20B0502050508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9D55F5">
    <w:pPr>
      <w:pStyle w:val="Foot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795633">
      <w:rPr>
        <w:rStyle w:val="PageNumber"/>
        <w:noProof/>
      </w:rPr>
      <w:t>2</w:t>
    </w:r>
    <w:r>
      <w:rPr>
        <w:rStyle w:val="PageNumber"/>
      </w:rPr>
      <w:fldChar w:fldCharType="end"/>
    </w:r>
  </w:p>
  <w:p w:rsidR="00795633" w:rsidRDefault="007956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August 2020</w:t>
    </w:r>
    <w:r w:rsidR="00795633" w:rsidRPr="00B3283E">
      <w:rPr>
        <w:sz w:val="18"/>
        <w:szCs w:val="18"/>
      </w:rPr>
      <w:tab/>
      <w:t xml:space="preserve">Page </w:t>
    </w:r>
    <w:r w:rsidR="009D55F5" w:rsidRPr="00B3283E">
      <w:rPr>
        <w:rStyle w:val="PageNumber"/>
        <w:sz w:val="18"/>
        <w:szCs w:val="18"/>
      </w:rPr>
      <w:fldChar w:fldCharType="begin"/>
    </w:r>
    <w:r w:rsidR="00795633" w:rsidRPr="00B3283E">
      <w:rPr>
        <w:rStyle w:val="PageNumber"/>
        <w:sz w:val="18"/>
        <w:szCs w:val="18"/>
      </w:rPr>
      <w:instrText xml:space="preserve"> PAGE </w:instrText>
    </w:r>
    <w:r w:rsidR="009D55F5" w:rsidRPr="00B3283E">
      <w:rPr>
        <w:rStyle w:val="PageNumber"/>
        <w:sz w:val="18"/>
        <w:szCs w:val="18"/>
      </w:rPr>
      <w:fldChar w:fldCharType="separate"/>
    </w:r>
    <w:r w:rsidR="00867699">
      <w:rPr>
        <w:rStyle w:val="PageNumber"/>
        <w:noProof/>
        <w:sz w:val="18"/>
        <w:szCs w:val="18"/>
      </w:rPr>
      <w:t>4</w:t>
    </w:r>
    <w:r w:rsidR="009D55F5" w:rsidRPr="00B3283E">
      <w:rPr>
        <w:rStyle w:val="PageNumber"/>
        <w:sz w:val="18"/>
        <w:szCs w:val="18"/>
      </w:rPr>
      <w:fldChar w:fldCharType="end"/>
    </w:r>
    <w:r w:rsidR="00795633" w:rsidRPr="00B3283E">
      <w:rPr>
        <w:rStyle w:val="PageNumber"/>
        <w:sz w:val="18"/>
        <w:szCs w:val="18"/>
      </w:rPr>
      <w:t xml:space="preserve"> of </w:t>
    </w:r>
    <w:r w:rsidR="009D55F5" w:rsidRPr="00B3283E">
      <w:rPr>
        <w:rStyle w:val="PageNumber"/>
        <w:sz w:val="18"/>
        <w:szCs w:val="18"/>
      </w:rPr>
      <w:fldChar w:fldCharType="begin"/>
    </w:r>
    <w:r w:rsidR="00795633" w:rsidRPr="00B3283E">
      <w:rPr>
        <w:rStyle w:val="PageNumber"/>
        <w:sz w:val="18"/>
        <w:szCs w:val="18"/>
      </w:rPr>
      <w:instrText xml:space="preserve"> NUMPAGES </w:instrText>
    </w:r>
    <w:r w:rsidR="009D55F5" w:rsidRPr="00B3283E">
      <w:rPr>
        <w:rStyle w:val="PageNumber"/>
        <w:sz w:val="18"/>
        <w:szCs w:val="18"/>
      </w:rPr>
      <w:fldChar w:fldCharType="separate"/>
    </w:r>
    <w:r w:rsidR="00867699">
      <w:rPr>
        <w:rStyle w:val="PageNumber"/>
        <w:noProof/>
        <w:sz w:val="18"/>
        <w:szCs w:val="18"/>
      </w:rPr>
      <w:t>5</w:t>
    </w:r>
    <w:r w:rsidR="009D55F5" w:rsidRPr="00B3283E">
      <w:rPr>
        <w:rStyle w:val="PageNumber"/>
        <w:sz w:val="18"/>
        <w:szCs w:val="18"/>
      </w:rPr>
      <w:fldChar w:fldCharType="end"/>
    </w:r>
  </w:p>
  <w:p w:rsidR="00795633" w:rsidRPr="00B3283E" w:rsidRDefault="009D55F5"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9D55F5" w:rsidRPr="009423FB">
      <w:rPr>
        <w:rStyle w:val="PageNumber"/>
        <w:sz w:val="18"/>
        <w:szCs w:val="18"/>
      </w:rPr>
      <w:fldChar w:fldCharType="begin"/>
    </w:r>
    <w:r w:rsidR="00004B49" w:rsidRPr="009423FB">
      <w:rPr>
        <w:rStyle w:val="PageNumber"/>
        <w:sz w:val="18"/>
        <w:szCs w:val="18"/>
      </w:rPr>
      <w:instrText xml:space="preserve"> PAGE </w:instrText>
    </w:r>
    <w:r w:rsidR="009D55F5" w:rsidRPr="009423FB">
      <w:rPr>
        <w:rStyle w:val="PageNumber"/>
        <w:sz w:val="18"/>
        <w:szCs w:val="18"/>
      </w:rPr>
      <w:fldChar w:fldCharType="separate"/>
    </w:r>
    <w:r w:rsidR="00CA6498">
      <w:rPr>
        <w:rStyle w:val="PageNumber"/>
        <w:noProof/>
        <w:sz w:val="18"/>
        <w:szCs w:val="18"/>
      </w:rPr>
      <w:t>1</w:t>
    </w:r>
    <w:r w:rsidR="009D55F5" w:rsidRPr="009423FB">
      <w:rPr>
        <w:rStyle w:val="PageNumber"/>
        <w:sz w:val="18"/>
        <w:szCs w:val="18"/>
      </w:rPr>
      <w:fldChar w:fldCharType="end"/>
    </w:r>
    <w:r w:rsidR="00004B49" w:rsidRPr="009423FB">
      <w:rPr>
        <w:rStyle w:val="PageNumber"/>
        <w:sz w:val="18"/>
        <w:szCs w:val="18"/>
      </w:rPr>
      <w:t xml:space="preserve"> of </w:t>
    </w:r>
    <w:r w:rsidR="009D55F5" w:rsidRPr="009423FB">
      <w:rPr>
        <w:rStyle w:val="PageNumber"/>
        <w:sz w:val="18"/>
        <w:szCs w:val="18"/>
      </w:rPr>
      <w:fldChar w:fldCharType="begin"/>
    </w:r>
    <w:r w:rsidR="00004B49" w:rsidRPr="009423FB">
      <w:rPr>
        <w:rStyle w:val="PageNumber"/>
        <w:sz w:val="18"/>
        <w:szCs w:val="18"/>
      </w:rPr>
      <w:instrText xml:space="preserve"> NUMPAGES </w:instrText>
    </w:r>
    <w:r w:rsidR="009D55F5" w:rsidRPr="009423FB">
      <w:rPr>
        <w:rStyle w:val="PageNumber"/>
        <w:sz w:val="18"/>
        <w:szCs w:val="18"/>
      </w:rPr>
      <w:fldChar w:fldCharType="separate"/>
    </w:r>
    <w:r w:rsidR="00CA6498">
      <w:rPr>
        <w:rStyle w:val="PageNumber"/>
        <w:noProof/>
        <w:sz w:val="18"/>
        <w:szCs w:val="18"/>
      </w:rPr>
      <w:t>7</w:t>
    </w:r>
    <w:r w:rsidR="009D55F5" w:rsidRPr="009423FB">
      <w:rPr>
        <w:rStyle w:val="PageNumber"/>
        <w:sz w:val="18"/>
        <w:szCs w:val="18"/>
      </w:rPr>
      <w:fldChar w:fldCharType="end"/>
    </w:r>
  </w:p>
  <w:p w:rsidR="00795633" w:rsidRPr="00004B49" w:rsidRDefault="009D55F5"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3D3" w:rsidRPr="00E725FE" w:rsidRDefault="00CB23D3">
      <w:r w:rsidRPr="00E725FE">
        <w:separator/>
      </w:r>
    </w:p>
  </w:footnote>
  <w:footnote w:type="continuationSeparator" w:id="0">
    <w:p w:rsidR="00CB23D3" w:rsidRPr="00E725FE" w:rsidRDefault="00CB23D3">
      <w:r w:rsidRPr="00E725FE">
        <w:continuationSeparator/>
      </w:r>
    </w:p>
  </w:footnote>
  <w:footnote w:id="1">
    <w:p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9D55F5" w:rsidP="00582940">
    <w:pPr>
      <w:pStyle w:val="Head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GB"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75FD5"/>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1B6F"/>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386E"/>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E6538"/>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2CA6"/>
    <w:rsid w:val="006934C9"/>
    <w:rsid w:val="006937A4"/>
    <w:rsid w:val="006A4779"/>
    <w:rsid w:val="006A75D6"/>
    <w:rsid w:val="006B1B4E"/>
    <w:rsid w:val="006B60CC"/>
    <w:rsid w:val="006B70A7"/>
    <w:rsid w:val="006C113F"/>
    <w:rsid w:val="006C3F3C"/>
    <w:rsid w:val="006C4752"/>
    <w:rsid w:val="006C4E1F"/>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1168"/>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67699"/>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55F5"/>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17413"/>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5A23"/>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1FC1"/>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23C9"/>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23D3"/>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15A2C"/>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05DF"/>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C540E"/>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C5EDF"/>
    <w:rsid w:val="00FD12E4"/>
    <w:rsid w:val="00FE0AAA"/>
    <w:rsid w:val="00FF1275"/>
    <w:rsid w:val="00FF1C64"/>
    <w:rsid w:val="00FF34CD"/>
    <w:rsid w:val="00FF76B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5EDF"/>
    <w:rPr>
      <w:snapToGrid w:val="0"/>
      <w:sz w:val="24"/>
      <w:lang w:eastAsia="en-US"/>
    </w:rPr>
  </w:style>
  <w:style w:type="paragraph" w:styleId="Heading1">
    <w:name w:val="heading 1"/>
    <w:basedOn w:val="Normal"/>
    <w:next w:val="Normal"/>
    <w:qFormat/>
    <w:rsid w:val="00FC5EDF"/>
    <w:pPr>
      <w:keepNext/>
      <w:jc w:val="center"/>
      <w:outlineLvl w:val="0"/>
    </w:pPr>
    <w:rPr>
      <w:rFonts w:ascii="Arial" w:hAnsi="Arial"/>
      <w:b/>
      <w:color w:val="FF0000"/>
      <w:sz w:val="28"/>
    </w:rPr>
  </w:style>
  <w:style w:type="paragraph" w:styleId="Heading2">
    <w:name w:val="heading 2"/>
    <w:basedOn w:val="Normal"/>
    <w:next w:val="Normal"/>
    <w:link w:val="Heading2Char"/>
    <w:qFormat/>
    <w:rsid w:val="00FC5EDF"/>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FC5EDF"/>
    <w:pPr>
      <w:keepNext/>
      <w:jc w:val="center"/>
      <w:outlineLvl w:val="2"/>
    </w:pPr>
    <w:rPr>
      <w:rFonts w:ascii="Arial" w:hAnsi="Arial"/>
      <w:b/>
      <w:color w:val="FF0000"/>
      <w:sz w:val="36"/>
      <w:lang w:val="fr-FR"/>
    </w:rPr>
  </w:style>
  <w:style w:type="paragraph" w:styleId="Heading4">
    <w:name w:val="heading 4"/>
    <w:basedOn w:val="Normal"/>
    <w:next w:val="Normal"/>
    <w:qFormat/>
    <w:rsid w:val="00FC5EDF"/>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FC5EDF"/>
    <w:pPr>
      <w:keepNext/>
      <w:jc w:val="both"/>
      <w:outlineLvl w:val="4"/>
    </w:pPr>
    <w:rPr>
      <w:rFonts w:ascii="Arial" w:hAnsi="Arial"/>
      <w:b/>
      <w:sz w:val="20"/>
    </w:rPr>
  </w:style>
  <w:style w:type="paragraph" w:styleId="Heading7">
    <w:name w:val="heading 7"/>
    <w:basedOn w:val="Normal"/>
    <w:next w:val="Normal"/>
    <w:qFormat/>
    <w:rsid w:val="00FC5EDF"/>
    <w:pPr>
      <w:keepNext/>
      <w:jc w:val="center"/>
      <w:outlineLvl w:val="6"/>
    </w:pPr>
    <w:rPr>
      <w:rFonts w:ascii="Arial" w:hAnsi="Arial"/>
      <w:b/>
      <w:color w:val="008000"/>
      <w:sz w:val="32"/>
    </w:rPr>
  </w:style>
  <w:style w:type="paragraph" w:styleId="Heading8">
    <w:name w:val="heading 8"/>
    <w:basedOn w:val="Normal"/>
    <w:next w:val="Normal"/>
    <w:qFormat/>
    <w:rsid w:val="00FC5EDF"/>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FC5EDF"/>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FC5EDF"/>
    <w:pPr>
      <w:widowControl w:val="0"/>
      <w:spacing w:before="60" w:line="240" w:lineRule="exact"/>
      <w:jc w:val="both"/>
    </w:pPr>
    <w:rPr>
      <w:rFonts w:ascii="Arial" w:hAnsi="Arial"/>
      <w:lang w:val="cs-CZ"/>
    </w:rPr>
  </w:style>
  <w:style w:type="paragraph" w:customStyle="1" w:styleId="1zanoren">
    <w:name w:val="1.zanorení"/>
    <w:basedOn w:val="text-3mezera"/>
    <w:rsid w:val="00FC5EDF"/>
    <w:pPr>
      <w:ind w:left="2127" w:hanging="1418"/>
    </w:pPr>
  </w:style>
  <w:style w:type="paragraph" w:customStyle="1" w:styleId="2zanoren">
    <w:name w:val="2.zanorení"/>
    <w:basedOn w:val="text-3mezera"/>
    <w:rsid w:val="00FC5EDF"/>
    <w:pPr>
      <w:ind w:left="3402" w:hanging="1278"/>
    </w:pPr>
  </w:style>
  <w:style w:type="paragraph" w:customStyle="1" w:styleId="bulletsub">
    <w:name w:val="bullet_sub"/>
    <w:basedOn w:val="Normal"/>
    <w:rsid w:val="00FC5ED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FC5EDF"/>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FC5EDF"/>
    <w:pPr>
      <w:tabs>
        <w:tab w:val="left" w:pos="400"/>
        <w:tab w:val="left" w:pos="851"/>
        <w:tab w:val="left" w:pos="1701"/>
        <w:tab w:val="right" w:leader="hyphen" w:pos="9062"/>
      </w:tabs>
    </w:pPr>
    <w:rPr>
      <w:i/>
      <w:noProof/>
      <w:sz w:val="22"/>
    </w:rPr>
  </w:style>
  <w:style w:type="paragraph" w:customStyle="1" w:styleId="bullet-3">
    <w:name w:val="bullet-3"/>
    <w:basedOn w:val="Normal"/>
    <w:rsid w:val="00FC5EDF"/>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FC5EDF"/>
    <w:pPr>
      <w:tabs>
        <w:tab w:val="center" w:pos="4320"/>
        <w:tab w:val="right" w:pos="8640"/>
      </w:tabs>
    </w:pPr>
    <w:rPr>
      <w:lang/>
    </w:rPr>
  </w:style>
  <w:style w:type="paragraph" w:styleId="Header">
    <w:name w:val="header"/>
    <w:basedOn w:val="Normal"/>
    <w:rsid w:val="00FC5EDF"/>
    <w:pPr>
      <w:tabs>
        <w:tab w:val="center" w:pos="4536"/>
        <w:tab w:val="right" w:pos="9072"/>
      </w:tabs>
    </w:pPr>
    <w:rPr>
      <w:rFonts w:ascii="Arial" w:hAnsi="Arial"/>
      <w:sz w:val="20"/>
    </w:rPr>
  </w:style>
  <w:style w:type="paragraph" w:styleId="BodyTextIndent">
    <w:name w:val="Body Text Indent"/>
    <w:basedOn w:val="Normal"/>
    <w:rsid w:val="00FC5EDF"/>
    <w:pPr>
      <w:jc w:val="both"/>
    </w:pPr>
    <w:rPr>
      <w:sz w:val="22"/>
    </w:rPr>
  </w:style>
  <w:style w:type="paragraph" w:styleId="BodyText">
    <w:name w:val="Body Text"/>
    <w:basedOn w:val="Normal"/>
    <w:rsid w:val="00FC5EDF"/>
    <w:pPr>
      <w:jc w:val="both"/>
    </w:pPr>
    <w:rPr>
      <w:rFonts w:ascii="Arial" w:hAnsi="Arial"/>
      <w:sz w:val="20"/>
    </w:rPr>
  </w:style>
  <w:style w:type="paragraph" w:styleId="NormalIndent">
    <w:name w:val="Normal Indent"/>
    <w:basedOn w:val="Normal"/>
    <w:rsid w:val="00FC5EDF"/>
    <w:pPr>
      <w:ind w:left="708"/>
    </w:pPr>
    <w:rPr>
      <w:rFonts w:ascii="Arial" w:hAnsi="Arial"/>
      <w:sz w:val="20"/>
    </w:rPr>
  </w:style>
  <w:style w:type="paragraph" w:customStyle="1" w:styleId="tabulka">
    <w:name w:val="tabulka"/>
    <w:basedOn w:val="text-3mezera"/>
    <w:rsid w:val="00FC5EDF"/>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FC5EDF"/>
    <w:rPr>
      <w:sz w:val="20"/>
      <w:lang/>
    </w:rPr>
  </w:style>
  <w:style w:type="character" w:styleId="Hyperlink">
    <w:name w:val="Hyperlink"/>
    <w:rsid w:val="00FC5EDF"/>
    <w:rPr>
      <w:color w:val="0000FF"/>
      <w:u w:val="single"/>
    </w:rPr>
  </w:style>
  <w:style w:type="paragraph" w:customStyle="1" w:styleId="Volume">
    <w:name w:val="Volume"/>
    <w:basedOn w:val="text"/>
    <w:next w:val="Section"/>
    <w:rsid w:val="00FC5EDF"/>
    <w:pPr>
      <w:pageBreakBefore/>
      <w:spacing w:before="360" w:line="360" w:lineRule="exact"/>
      <w:jc w:val="center"/>
    </w:pPr>
    <w:rPr>
      <w:b/>
      <w:sz w:val="36"/>
    </w:rPr>
  </w:style>
  <w:style w:type="paragraph" w:customStyle="1" w:styleId="text">
    <w:name w:val="text"/>
    <w:rsid w:val="00FC5EDF"/>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FC5EDF"/>
    <w:pPr>
      <w:pageBreakBefore w:val="0"/>
      <w:spacing w:before="0"/>
    </w:pPr>
    <w:rPr>
      <w:sz w:val="32"/>
    </w:rPr>
  </w:style>
  <w:style w:type="paragraph" w:customStyle="1" w:styleId="textcslovan">
    <w:name w:val="text císlovaný"/>
    <w:basedOn w:val="text"/>
    <w:rsid w:val="00FC5EDF"/>
    <w:pPr>
      <w:ind w:left="567" w:hanging="567"/>
    </w:pPr>
  </w:style>
  <w:style w:type="paragraph" w:customStyle="1" w:styleId="Nadpis-STRANA">
    <w:name w:val="Nadpis - STRANA"/>
    <w:basedOn w:val="text"/>
    <w:next w:val="Volume"/>
    <w:rsid w:val="00FC5EDF"/>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FC5EDF"/>
    <w:rPr>
      <w:vertAlign w:val="superscript"/>
    </w:rPr>
  </w:style>
  <w:style w:type="character" w:styleId="PageNumber">
    <w:name w:val="page number"/>
    <w:basedOn w:val="DefaultParagraphFont"/>
    <w:rsid w:val="00FC5EDF"/>
  </w:style>
  <w:style w:type="paragraph" w:styleId="PlainText">
    <w:name w:val="Plain Text"/>
    <w:basedOn w:val="Normal"/>
    <w:rsid w:val="00FC5EDF"/>
    <w:rPr>
      <w:rFonts w:ascii="Courier New" w:hAnsi="Courier New"/>
      <w:sz w:val="20"/>
    </w:rPr>
  </w:style>
  <w:style w:type="character" w:styleId="FollowedHyperlink">
    <w:name w:val="FollowedHyperlink"/>
    <w:rsid w:val="00FC5EDF"/>
    <w:rPr>
      <w:color w:val="800080"/>
      <w:u w:val="single"/>
    </w:rPr>
  </w:style>
  <w:style w:type="paragraph" w:customStyle="1" w:styleId="Blockquote">
    <w:name w:val="Blockquote"/>
    <w:basedOn w:val="Normal"/>
    <w:rsid w:val="00FC5EDF"/>
    <w:pPr>
      <w:widowControl w:val="0"/>
      <w:spacing w:before="100" w:after="100"/>
      <w:ind w:left="360" w:right="360"/>
    </w:pPr>
  </w:style>
  <w:style w:type="paragraph" w:customStyle="1" w:styleId="Text1">
    <w:name w:val="Text 1"/>
    <w:basedOn w:val="Normal"/>
    <w:rsid w:val="00FC5EDF"/>
    <w:pPr>
      <w:spacing w:before="120" w:after="120"/>
      <w:ind w:left="851"/>
      <w:jc w:val="both"/>
    </w:pPr>
  </w:style>
  <w:style w:type="paragraph" w:customStyle="1" w:styleId="ManualNumPar1">
    <w:name w:val="Manual NumPar 1"/>
    <w:basedOn w:val="Normal"/>
    <w:next w:val="Text1"/>
    <w:rsid w:val="00FC5EDF"/>
    <w:pPr>
      <w:spacing w:before="120" w:after="120"/>
      <w:ind w:left="851" w:hanging="851"/>
      <w:jc w:val="both"/>
    </w:pPr>
  </w:style>
  <w:style w:type="paragraph" w:customStyle="1" w:styleId="Point1">
    <w:name w:val="Point 1"/>
    <w:basedOn w:val="Normal"/>
    <w:rsid w:val="00FC5EDF"/>
    <w:pPr>
      <w:spacing w:before="120" w:after="120"/>
      <w:ind w:left="1418" w:hanging="567"/>
      <w:jc w:val="both"/>
    </w:pPr>
  </w:style>
  <w:style w:type="paragraph" w:styleId="Subtitle">
    <w:name w:val="Subtitle"/>
    <w:basedOn w:val="Normal"/>
    <w:qFormat/>
    <w:rsid w:val="00FC5EDF"/>
    <w:pPr>
      <w:spacing w:before="120" w:after="120"/>
      <w:jc w:val="center"/>
    </w:pPr>
    <w:rPr>
      <w:rFonts w:ascii="Arial" w:hAnsi="Arial"/>
      <w:b/>
      <w:sz w:val="28"/>
      <w:lang w:val="fr-BE"/>
    </w:rPr>
  </w:style>
  <w:style w:type="paragraph" w:styleId="Title">
    <w:name w:val="Title"/>
    <w:basedOn w:val="Normal"/>
    <w:link w:val="TitleChar"/>
    <w:qFormat/>
    <w:rsid w:val="00FC5EDF"/>
    <w:pPr>
      <w:spacing w:before="120" w:after="120"/>
      <w:jc w:val="center"/>
    </w:pPr>
    <w:rPr>
      <w:rFonts w:ascii="Arial" w:hAnsi="Arial"/>
      <w:b/>
      <w:sz w:val="28"/>
      <w:lang w:val="fr-BE"/>
    </w:rPr>
  </w:style>
  <w:style w:type="paragraph" w:styleId="TOC3">
    <w:name w:val="toc 3"/>
    <w:basedOn w:val="Normal"/>
    <w:next w:val="Normal"/>
    <w:autoRedefine/>
    <w:semiHidden/>
    <w:rsid w:val="00FC5EDF"/>
    <w:pPr>
      <w:ind w:left="480"/>
    </w:pPr>
  </w:style>
  <w:style w:type="paragraph" w:styleId="TOC4">
    <w:name w:val="toc 4"/>
    <w:basedOn w:val="Normal"/>
    <w:next w:val="Normal"/>
    <w:autoRedefine/>
    <w:semiHidden/>
    <w:rsid w:val="00FC5EDF"/>
    <w:pPr>
      <w:ind w:left="720"/>
    </w:pPr>
  </w:style>
  <w:style w:type="paragraph" w:styleId="TOC5">
    <w:name w:val="toc 5"/>
    <w:basedOn w:val="Normal"/>
    <w:next w:val="Normal"/>
    <w:autoRedefine/>
    <w:semiHidden/>
    <w:rsid w:val="00FC5EDF"/>
    <w:pPr>
      <w:ind w:left="960"/>
    </w:pPr>
  </w:style>
  <w:style w:type="paragraph" w:styleId="TOC6">
    <w:name w:val="toc 6"/>
    <w:basedOn w:val="Normal"/>
    <w:next w:val="Normal"/>
    <w:autoRedefine/>
    <w:semiHidden/>
    <w:rsid w:val="00FC5EDF"/>
    <w:pPr>
      <w:ind w:left="1200"/>
    </w:pPr>
  </w:style>
  <w:style w:type="paragraph" w:styleId="TOC7">
    <w:name w:val="toc 7"/>
    <w:basedOn w:val="Normal"/>
    <w:next w:val="Normal"/>
    <w:autoRedefine/>
    <w:semiHidden/>
    <w:rsid w:val="00FC5EDF"/>
    <w:pPr>
      <w:ind w:left="1440"/>
    </w:pPr>
  </w:style>
  <w:style w:type="paragraph" w:styleId="TOC8">
    <w:name w:val="toc 8"/>
    <w:basedOn w:val="Normal"/>
    <w:next w:val="Normal"/>
    <w:autoRedefine/>
    <w:semiHidden/>
    <w:rsid w:val="00FC5EDF"/>
    <w:pPr>
      <w:ind w:left="1680"/>
    </w:pPr>
  </w:style>
  <w:style w:type="paragraph" w:styleId="TOC9">
    <w:name w:val="toc 9"/>
    <w:basedOn w:val="Normal"/>
    <w:next w:val="Normal"/>
    <w:autoRedefine/>
    <w:semiHidden/>
    <w:rsid w:val="00FC5EDF"/>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FC5EDF"/>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FC5EDF"/>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lang/>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character" w:customStyle="1" w:styleId="UnresolvedMention">
    <w:name w:val="Unresolved Mention"/>
    <w:uiPriority w:val="99"/>
    <w:semiHidden/>
    <w:unhideWhenUsed/>
    <w:rsid w:val="00EC540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opkp@krivapalanka.gov.m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work/visibility/index_en.htm_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BA382-B459-48DB-B5B7-3F55B2ECC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1794</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sdodevski</cp:lastModifiedBy>
  <cp:revision>6</cp:revision>
  <cp:lastPrinted>2014-02-12T13:59:00Z</cp:lastPrinted>
  <dcterms:created xsi:type="dcterms:W3CDTF">2021-03-12T15:56:00Z</dcterms:created>
  <dcterms:modified xsi:type="dcterms:W3CDTF">2021-03-22T10:18:00Z</dcterms:modified>
</cp:coreProperties>
</file>