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B7" w:rsidRDefault="00F60AB7">
      <w:pPr>
        <w:jc w:val="center"/>
        <w:rPr>
          <w:b/>
          <w:sz w:val="28"/>
          <w:szCs w:val="28"/>
        </w:rPr>
      </w:pPr>
      <w:bookmarkStart w:id="0" w:name="_GoBack"/>
      <w:bookmarkEnd w:id="0"/>
    </w:p>
    <w:p w:rsidR="00810A6E" w:rsidRPr="000D712D" w:rsidRDefault="00810A6E">
      <w:pPr>
        <w:jc w:val="center"/>
        <w:rPr>
          <w:b/>
          <w:sz w:val="28"/>
          <w:szCs w:val="28"/>
        </w:rPr>
      </w:pPr>
      <w:r w:rsidRPr="000D712D">
        <w:rPr>
          <w:b/>
          <w:sz w:val="28"/>
          <w:szCs w:val="28"/>
        </w:rPr>
        <w:t>WORKS CONTRACT AWARD NOTICE</w:t>
      </w:r>
    </w:p>
    <w:p w:rsidR="00FF36F0" w:rsidRDefault="00FF36F0" w:rsidP="008C1B12">
      <w:pPr>
        <w:jc w:val="center"/>
        <w:rPr>
          <w:rStyle w:val="Strong"/>
          <w:sz w:val="22"/>
          <w:szCs w:val="22"/>
        </w:rPr>
      </w:pPr>
      <w:r w:rsidRPr="00FF36F0">
        <w:rPr>
          <w:rStyle w:val="Strong"/>
          <w:sz w:val="22"/>
          <w:szCs w:val="22"/>
        </w:rPr>
        <w:t xml:space="preserve">Improvement of the tourist infrastructure in municipality of Kyustendil under              CB006.2.21.143 project  </w:t>
      </w:r>
    </w:p>
    <w:p w:rsidR="00810A6E" w:rsidRDefault="008C1B12" w:rsidP="008C1B12">
      <w:pPr>
        <w:jc w:val="center"/>
        <w:rPr>
          <w:rStyle w:val="Strong"/>
          <w:sz w:val="22"/>
          <w:szCs w:val="22"/>
        </w:rPr>
      </w:pPr>
      <w:r>
        <w:rPr>
          <w:rStyle w:val="Strong"/>
          <w:sz w:val="22"/>
          <w:szCs w:val="22"/>
        </w:rPr>
        <w:t>Kyustendil Municipality, Republic of Bulgaria</w:t>
      </w:r>
    </w:p>
    <w:p w:rsidR="00F60AB7" w:rsidRPr="000D712D" w:rsidRDefault="00F60AB7" w:rsidP="008C1B12">
      <w:pPr>
        <w:jc w:val="center"/>
        <w:rPr>
          <w:sz w:val="22"/>
          <w:szCs w:val="22"/>
        </w:rPr>
      </w:pPr>
    </w:p>
    <w:p w:rsidR="00810A6E" w:rsidRPr="000D712D" w:rsidRDefault="00AE2F78">
      <w:pPr>
        <w:ind w:left="709" w:hanging="425"/>
        <w:outlineLvl w:val="0"/>
        <w:rPr>
          <w:rStyle w:val="Strong"/>
          <w:sz w:val="22"/>
          <w:szCs w:val="22"/>
        </w:rPr>
      </w:pPr>
      <w:r>
        <w:rPr>
          <w:rStyle w:val="Strong"/>
          <w:sz w:val="22"/>
          <w:szCs w:val="22"/>
        </w:rPr>
        <w:t>1.</w:t>
      </w:r>
      <w:r>
        <w:rPr>
          <w:rStyle w:val="Strong"/>
          <w:sz w:val="22"/>
          <w:szCs w:val="22"/>
        </w:rPr>
        <w:tab/>
      </w:r>
      <w:r w:rsidR="00877CE4">
        <w:rPr>
          <w:rStyle w:val="Strong"/>
          <w:sz w:val="22"/>
          <w:szCs w:val="22"/>
        </w:rPr>
        <w:t>Type of procedure</w:t>
      </w:r>
    </w:p>
    <w:p w:rsidR="00810A6E" w:rsidRPr="000D712D" w:rsidRDefault="008C1B12" w:rsidP="00AE2F78">
      <w:pPr>
        <w:pStyle w:val="Blockquote"/>
        <w:ind w:left="567"/>
        <w:rPr>
          <w:sz w:val="22"/>
          <w:szCs w:val="22"/>
        </w:rPr>
      </w:pPr>
      <w:r>
        <w:rPr>
          <w:sz w:val="22"/>
          <w:szCs w:val="22"/>
        </w:rPr>
        <w:t xml:space="preserve">   </w:t>
      </w:r>
      <w:r w:rsidR="00877CE4" w:rsidRPr="008C1B12">
        <w:rPr>
          <w:sz w:val="22"/>
          <w:szCs w:val="22"/>
        </w:rPr>
        <w:t>Local open tender</w:t>
      </w:r>
      <w:r w:rsidRPr="008C1B12">
        <w:rPr>
          <w:sz w:val="22"/>
          <w:szCs w:val="22"/>
        </w:rPr>
        <w:t xml:space="preserve"> procedure</w:t>
      </w:r>
    </w:p>
    <w:p w:rsidR="00810A6E" w:rsidRPr="000D712D" w:rsidRDefault="00AE2F78">
      <w:pPr>
        <w:ind w:left="709" w:hanging="425"/>
        <w:outlineLvl w:val="0"/>
        <w:rPr>
          <w:rStyle w:val="Strong"/>
          <w:sz w:val="22"/>
          <w:szCs w:val="22"/>
        </w:rPr>
      </w:pPr>
      <w:r>
        <w:rPr>
          <w:rStyle w:val="Strong"/>
          <w:sz w:val="22"/>
          <w:szCs w:val="22"/>
        </w:rPr>
        <w:t>2.</w:t>
      </w:r>
      <w:r>
        <w:rPr>
          <w:rStyle w:val="Strong"/>
          <w:sz w:val="22"/>
          <w:szCs w:val="22"/>
        </w:rPr>
        <w:tab/>
      </w:r>
      <w:r w:rsidR="00810A6E" w:rsidRPr="000D712D">
        <w:rPr>
          <w:rStyle w:val="Strong"/>
          <w:sz w:val="22"/>
          <w:szCs w:val="22"/>
        </w:rPr>
        <w:t xml:space="preserve">Publication </w:t>
      </w:r>
      <w:r w:rsidR="00877CE4">
        <w:rPr>
          <w:rStyle w:val="Strong"/>
          <w:sz w:val="22"/>
          <w:szCs w:val="22"/>
        </w:rPr>
        <w:t xml:space="preserve">reference and </w:t>
      </w:r>
      <w:r w:rsidR="00810A6E" w:rsidRPr="000D712D">
        <w:rPr>
          <w:rStyle w:val="Strong"/>
          <w:sz w:val="22"/>
          <w:szCs w:val="22"/>
        </w:rPr>
        <w:t xml:space="preserve">date of the </w:t>
      </w:r>
      <w:r w:rsidR="00877CE4">
        <w:rPr>
          <w:rStyle w:val="Strong"/>
          <w:sz w:val="22"/>
          <w:szCs w:val="22"/>
        </w:rPr>
        <w:t>contract</w:t>
      </w:r>
      <w:r w:rsidR="00810A6E" w:rsidRPr="000D712D">
        <w:rPr>
          <w:rStyle w:val="Strong"/>
          <w:sz w:val="22"/>
          <w:szCs w:val="22"/>
        </w:rPr>
        <w:t xml:space="preserve"> notice</w:t>
      </w:r>
    </w:p>
    <w:p w:rsidR="008C1B12" w:rsidRPr="00347409" w:rsidRDefault="00DB5C6E">
      <w:pPr>
        <w:ind w:left="709" w:hanging="425"/>
        <w:outlineLvl w:val="0"/>
        <w:rPr>
          <w:rStyle w:val="Strong"/>
          <w:b w:val="0"/>
          <w:sz w:val="22"/>
          <w:szCs w:val="22"/>
          <w:lang w:val="bg-BG"/>
        </w:rPr>
      </w:pPr>
      <w:r>
        <w:rPr>
          <w:rStyle w:val="Strong"/>
          <w:sz w:val="22"/>
          <w:szCs w:val="22"/>
        </w:rPr>
        <w:t xml:space="preserve"> </w:t>
      </w:r>
      <w:r w:rsidRPr="00DB5C6E">
        <w:rPr>
          <w:rStyle w:val="Strong"/>
          <w:sz w:val="22"/>
          <w:szCs w:val="22"/>
        </w:rPr>
        <w:tab/>
      </w:r>
      <w:r w:rsidR="00FF36F0" w:rsidRPr="00FF36F0">
        <w:rPr>
          <w:rStyle w:val="Strong"/>
          <w:b w:val="0"/>
          <w:sz w:val="22"/>
          <w:szCs w:val="22"/>
        </w:rPr>
        <w:t xml:space="preserve">CB006.2.21.143 /PP2 </w:t>
      </w:r>
      <w:r w:rsidR="00FF36F0">
        <w:rPr>
          <w:rStyle w:val="Strong"/>
          <w:b w:val="0"/>
          <w:sz w:val="22"/>
          <w:szCs w:val="22"/>
        </w:rPr>
        <w:t>–</w:t>
      </w:r>
      <w:r w:rsidR="00FF36F0" w:rsidRPr="00FF36F0">
        <w:rPr>
          <w:rStyle w:val="Strong"/>
          <w:b w:val="0"/>
          <w:sz w:val="22"/>
          <w:szCs w:val="22"/>
        </w:rPr>
        <w:t xml:space="preserve"> 02</w:t>
      </w:r>
      <w:r w:rsidR="00FF36F0">
        <w:rPr>
          <w:rStyle w:val="Strong"/>
          <w:b w:val="0"/>
          <w:sz w:val="22"/>
          <w:szCs w:val="22"/>
        </w:rPr>
        <w:t xml:space="preserve">     </w:t>
      </w:r>
      <w:r w:rsidR="00347409">
        <w:rPr>
          <w:rStyle w:val="Strong"/>
          <w:b w:val="0"/>
          <w:sz w:val="22"/>
          <w:szCs w:val="22"/>
          <w:lang w:val="bg-BG"/>
        </w:rPr>
        <w:t>19.12.2019</w:t>
      </w:r>
    </w:p>
    <w:p w:rsidR="00810A6E" w:rsidRPr="000D712D" w:rsidRDefault="00810A6E">
      <w:pPr>
        <w:ind w:left="709" w:hanging="425"/>
        <w:outlineLvl w:val="0"/>
        <w:rPr>
          <w:rStyle w:val="Strong"/>
          <w:sz w:val="22"/>
          <w:szCs w:val="22"/>
        </w:rPr>
      </w:pPr>
      <w:r w:rsidRPr="000D712D">
        <w:rPr>
          <w:rStyle w:val="Strong"/>
          <w:sz w:val="22"/>
          <w:szCs w:val="22"/>
        </w:rPr>
        <w:t>3.</w:t>
      </w:r>
      <w:r w:rsidR="00AE2F78">
        <w:rPr>
          <w:rStyle w:val="Strong"/>
          <w:sz w:val="22"/>
          <w:szCs w:val="22"/>
        </w:rPr>
        <w:tab/>
      </w:r>
      <w:r w:rsidRPr="000D712D">
        <w:rPr>
          <w:rStyle w:val="Strong"/>
          <w:sz w:val="22"/>
          <w:szCs w:val="22"/>
        </w:rPr>
        <w:t>Lot number and lot title</w:t>
      </w:r>
    </w:p>
    <w:p w:rsidR="00810A6E" w:rsidRPr="00740187" w:rsidRDefault="00B12C44" w:rsidP="00AE2F78">
      <w:pPr>
        <w:pStyle w:val="Blockquote"/>
        <w:ind w:left="567"/>
        <w:rPr>
          <w:sz w:val="22"/>
          <w:szCs w:val="22"/>
        </w:rPr>
      </w:pPr>
      <w:r w:rsidRPr="00740187">
        <w:rPr>
          <w:sz w:val="22"/>
          <w:szCs w:val="22"/>
        </w:rPr>
        <w:t xml:space="preserve">   No lots are envisaged. </w:t>
      </w:r>
    </w:p>
    <w:p w:rsidR="00810A6E" w:rsidRPr="000D712D" w:rsidRDefault="00AE2F78">
      <w:pPr>
        <w:ind w:left="709" w:hanging="425"/>
        <w:outlineLvl w:val="0"/>
        <w:rPr>
          <w:rStyle w:val="Strong"/>
          <w:sz w:val="22"/>
          <w:szCs w:val="22"/>
        </w:rPr>
      </w:pPr>
      <w:r>
        <w:rPr>
          <w:rStyle w:val="Strong"/>
          <w:sz w:val="22"/>
          <w:szCs w:val="22"/>
        </w:rPr>
        <w:t>4.</w:t>
      </w:r>
      <w:r>
        <w:rPr>
          <w:rStyle w:val="Strong"/>
          <w:sz w:val="22"/>
          <w:szCs w:val="22"/>
        </w:rPr>
        <w:tab/>
      </w:r>
      <w:r w:rsidR="00810A6E" w:rsidRPr="000D712D">
        <w:rPr>
          <w:rStyle w:val="Strong"/>
          <w:sz w:val="22"/>
          <w:szCs w:val="22"/>
        </w:rPr>
        <w:t xml:space="preserve">Contract </w:t>
      </w:r>
      <w:r w:rsidR="00AE7D74" w:rsidRPr="000D712D">
        <w:rPr>
          <w:rStyle w:val="Strong"/>
          <w:sz w:val="22"/>
          <w:szCs w:val="22"/>
        </w:rPr>
        <w:t xml:space="preserve">number and </w:t>
      </w:r>
      <w:r w:rsidR="00810A6E" w:rsidRPr="000D712D">
        <w:rPr>
          <w:rStyle w:val="Strong"/>
          <w:sz w:val="22"/>
          <w:szCs w:val="22"/>
        </w:rPr>
        <w:t>value</w:t>
      </w:r>
    </w:p>
    <w:p w:rsidR="00A33A11" w:rsidRDefault="00AE7D74" w:rsidP="00AE2F78">
      <w:pPr>
        <w:pStyle w:val="Blockquote"/>
        <w:ind w:left="567"/>
        <w:rPr>
          <w:sz w:val="22"/>
          <w:szCs w:val="22"/>
        </w:rPr>
      </w:pPr>
      <w:r w:rsidRPr="000D712D">
        <w:rPr>
          <w:sz w:val="22"/>
          <w:szCs w:val="22"/>
        </w:rPr>
        <w:t xml:space="preserve"> </w:t>
      </w:r>
      <w:r w:rsidR="00F838E9">
        <w:rPr>
          <w:sz w:val="22"/>
          <w:szCs w:val="22"/>
          <w:lang w:val="bg-BG"/>
        </w:rPr>
        <w:t xml:space="preserve"> </w:t>
      </w:r>
      <w:r w:rsidR="00844CD2">
        <w:rPr>
          <w:sz w:val="22"/>
          <w:szCs w:val="22"/>
          <w:lang w:val="bg-BG"/>
        </w:rPr>
        <w:t xml:space="preserve"> </w:t>
      </w:r>
      <w:r w:rsidR="00C4751E">
        <w:rPr>
          <w:sz w:val="22"/>
          <w:szCs w:val="22"/>
          <w:lang w:val="bg-BG"/>
        </w:rPr>
        <w:t>Д-00-355</w:t>
      </w:r>
    </w:p>
    <w:p w:rsidR="00810A6E" w:rsidRPr="000D712D" w:rsidRDefault="00844CD2" w:rsidP="00AE2F78">
      <w:pPr>
        <w:pStyle w:val="Blockquote"/>
        <w:ind w:left="567"/>
        <w:rPr>
          <w:sz w:val="22"/>
          <w:szCs w:val="22"/>
        </w:rPr>
      </w:pPr>
      <w:r>
        <w:rPr>
          <w:sz w:val="22"/>
          <w:szCs w:val="22"/>
          <w:lang w:val="bg-BG"/>
        </w:rPr>
        <w:t xml:space="preserve">   </w:t>
      </w:r>
      <w:r w:rsidRPr="00A33A11">
        <w:rPr>
          <w:sz w:val="22"/>
          <w:szCs w:val="22"/>
        </w:rPr>
        <w:t>323 264, 55</w:t>
      </w:r>
      <w:r w:rsidRPr="00844CD2">
        <w:rPr>
          <w:sz w:val="22"/>
          <w:szCs w:val="22"/>
        </w:rPr>
        <w:t xml:space="preserve"> </w:t>
      </w:r>
      <w:r w:rsidRPr="00A33A11">
        <w:rPr>
          <w:sz w:val="22"/>
          <w:szCs w:val="22"/>
        </w:rPr>
        <w:t>BGN</w:t>
      </w:r>
      <w:r>
        <w:rPr>
          <w:sz w:val="22"/>
          <w:szCs w:val="22"/>
          <w:lang w:val="bg-BG"/>
        </w:rPr>
        <w:t xml:space="preserve"> </w:t>
      </w:r>
      <w:r w:rsidRPr="00A33A11">
        <w:rPr>
          <w:sz w:val="22"/>
          <w:szCs w:val="22"/>
        </w:rPr>
        <w:t>(excluding VAT)</w:t>
      </w:r>
      <w:r>
        <w:rPr>
          <w:sz w:val="22"/>
          <w:szCs w:val="22"/>
          <w:lang w:val="bg-BG"/>
        </w:rPr>
        <w:t xml:space="preserve"> </w:t>
      </w:r>
    </w:p>
    <w:p w:rsidR="00810A6E" w:rsidRPr="000D712D" w:rsidRDefault="00810A6E">
      <w:pPr>
        <w:ind w:left="709" w:hanging="425"/>
        <w:outlineLvl w:val="0"/>
        <w:rPr>
          <w:rStyle w:val="Strong"/>
          <w:sz w:val="22"/>
          <w:szCs w:val="22"/>
        </w:rPr>
      </w:pPr>
      <w:r w:rsidRPr="000D712D">
        <w:rPr>
          <w:rStyle w:val="Strong"/>
          <w:sz w:val="22"/>
          <w:szCs w:val="22"/>
        </w:rPr>
        <w:t>5.</w:t>
      </w:r>
      <w:r w:rsidR="00AE2F78">
        <w:rPr>
          <w:rStyle w:val="Strong"/>
          <w:sz w:val="22"/>
          <w:szCs w:val="22"/>
        </w:rPr>
        <w:tab/>
      </w:r>
      <w:r w:rsidRPr="000D712D">
        <w:rPr>
          <w:rStyle w:val="Strong"/>
          <w:sz w:val="22"/>
          <w:szCs w:val="22"/>
        </w:rPr>
        <w:t>Date of award of the contract</w:t>
      </w:r>
    </w:p>
    <w:p w:rsidR="00810A6E" w:rsidRPr="000D712D" w:rsidRDefault="00F43F31" w:rsidP="00AE2F78">
      <w:pPr>
        <w:pStyle w:val="Blockquote"/>
        <w:ind w:left="567"/>
        <w:rPr>
          <w:sz w:val="22"/>
          <w:szCs w:val="22"/>
        </w:rPr>
      </w:pPr>
      <w:r>
        <w:rPr>
          <w:sz w:val="22"/>
          <w:szCs w:val="22"/>
          <w:lang w:val="bg-BG"/>
        </w:rPr>
        <w:t xml:space="preserve">    </w:t>
      </w:r>
      <w:r w:rsidR="00C4751E">
        <w:rPr>
          <w:sz w:val="22"/>
          <w:szCs w:val="22"/>
          <w:lang w:val="bg-BG"/>
        </w:rPr>
        <w:t>31.03.2020</w:t>
      </w:r>
    </w:p>
    <w:p w:rsidR="00810A6E" w:rsidRPr="000D712D" w:rsidRDefault="00AE2F78">
      <w:pPr>
        <w:ind w:left="709" w:hanging="425"/>
        <w:outlineLvl w:val="0"/>
        <w:rPr>
          <w:rStyle w:val="Strong"/>
          <w:sz w:val="22"/>
          <w:szCs w:val="22"/>
        </w:rPr>
      </w:pPr>
      <w:r>
        <w:rPr>
          <w:rStyle w:val="Strong"/>
          <w:sz w:val="22"/>
          <w:szCs w:val="22"/>
        </w:rPr>
        <w:t>6.</w:t>
      </w:r>
      <w:r>
        <w:rPr>
          <w:rStyle w:val="Strong"/>
          <w:sz w:val="22"/>
          <w:szCs w:val="22"/>
        </w:rPr>
        <w:tab/>
      </w:r>
      <w:r w:rsidR="00810A6E" w:rsidRPr="000D712D">
        <w:rPr>
          <w:rStyle w:val="Strong"/>
          <w:sz w:val="22"/>
          <w:szCs w:val="22"/>
        </w:rPr>
        <w:t>Number of tenders received</w:t>
      </w:r>
    </w:p>
    <w:p w:rsidR="00810A6E" w:rsidRPr="000D712D" w:rsidRDefault="00844CD2" w:rsidP="00AE2F78">
      <w:pPr>
        <w:pStyle w:val="Blockquote"/>
        <w:ind w:left="567"/>
        <w:rPr>
          <w:sz w:val="22"/>
          <w:szCs w:val="22"/>
        </w:rPr>
      </w:pPr>
      <w:r>
        <w:rPr>
          <w:sz w:val="22"/>
          <w:szCs w:val="22"/>
          <w:lang w:val="bg-BG"/>
        </w:rPr>
        <w:t xml:space="preserve">  </w:t>
      </w:r>
      <w:r w:rsidR="00C4751E">
        <w:rPr>
          <w:sz w:val="22"/>
          <w:szCs w:val="22"/>
        </w:rPr>
        <w:t xml:space="preserve">1 </w:t>
      </w:r>
      <w:r>
        <w:rPr>
          <w:sz w:val="22"/>
          <w:szCs w:val="22"/>
        </w:rPr>
        <w:t>(one)</w:t>
      </w:r>
      <w:r w:rsidR="00C4751E">
        <w:rPr>
          <w:sz w:val="22"/>
          <w:szCs w:val="22"/>
        </w:rPr>
        <w:t xml:space="preserve"> </w:t>
      </w:r>
    </w:p>
    <w:p w:rsidR="00810A6E" w:rsidRPr="000D712D" w:rsidRDefault="00AE2F78">
      <w:pPr>
        <w:ind w:left="709" w:hanging="425"/>
        <w:outlineLvl w:val="0"/>
        <w:rPr>
          <w:rStyle w:val="Strong"/>
          <w:sz w:val="22"/>
          <w:szCs w:val="22"/>
        </w:rPr>
      </w:pPr>
      <w:r>
        <w:rPr>
          <w:rStyle w:val="Strong"/>
          <w:sz w:val="22"/>
          <w:szCs w:val="22"/>
        </w:rPr>
        <w:t>7.</w:t>
      </w:r>
      <w:r>
        <w:rPr>
          <w:rStyle w:val="Strong"/>
          <w:sz w:val="22"/>
          <w:szCs w:val="22"/>
        </w:rPr>
        <w:tab/>
      </w:r>
      <w:r w:rsidR="00810A6E" w:rsidRPr="000D712D">
        <w:rPr>
          <w:rStyle w:val="Strong"/>
          <w:sz w:val="22"/>
          <w:szCs w:val="22"/>
        </w:rPr>
        <w:t>Name</w:t>
      </w:r>
      <w:r w:rsidR="00AE7D74" w:rsidRPr="000D712D">
        <w:rPr>
          <w:rStyle w:val="Strong"/>
          <w:sz w:val="22"/>
          <w:szCs w:val="22"/>
        </w:rPr>
        <w:t>,</w:t>
      </w:r>
      <w:r w:rsidR="00810A6E" w:rsidRPr="000D712D">
        <w:rPr>
          <w:rStyle w:val="Strong"/>
          <w:sz w:val="22"/>
          <w:szCs w:val="22"/>
        </w:rPr>
        <w:t xml:space="preserve"> address </w:t>
      </w:r>
      <w:r w:rsidR="00AE7D74" w:rsidRPr="000D712D">
        <w:rPr>
          <w:rStyle w:val="Strong"/>
          <w:sz w:val="22"/>
          <w:szCs w:val="22"/>
        </w:rPr>
        <w:t xml:space="preserve">and nationality </w:t>
      </w:r>
      <w:r w:rsidR="00810A6E" w:rsidRPr="000D712D">
        <w:rPr>
          <w:rStyle w:val="Strong"/>
          <w:sz w:val="22"/>
          <w:szCs w:val="22"/>
        </w:rPr>
        <w:t>of successful tenderer</w:t>
      </w:r>
    </w:p>
    <w:p w:rsidR="00A33A11" w:rsidRDefault="00A33A11" w:rsidP="00A33A11">
      <w:pPr>
        <w:pStyle w:val="Blockquote"/>
        <w:ind w:left="567"/>
        <w:rPr>
          <w:sz w:val="22"/>
          <w:szCs w:val="22"/>
        </w:rPr>
      </w:pPr>
      <w:r w:rsidRPr="00A33A11">
        <w:rPr>
          <w:sz w:val="22"/>
          <w:szCs w:val="22"/>
        </w:rPr>
        <w:t xml:space="preserve">“STROITELNA FIRMA – RILA” LTD </w:t>
      </w:r>
    </w:p>
    <w:p w:rsidR="00A33A11" w:rsidRDefault="00A33A11" w:rsidP="00A33A11">
      <w:pPr>
        <w:pStyle w:val="Blockquote"/>
        <w:ind w:left="567"/>
        <w:rPr>
          <w:sz w:val="22"/>
          <w:szCs w:val="22"/>
          <w:lang w:val="bg-BG"/>
        </w:rPr>
      </w:pPr>
      <w:r w:rsidRPr="00A33A11">
        <w:rPr>
          <w:sz w:val="22"/>
          <w:szCs w:val="22"/>
        </w:rPr>
        <w:t>98 “Tsar Osvoboditel” str</w:t>
      </w:r>
      <w:r>
        <w:rPr>
          <w:sz w:val="22"/>
          <w:szCs w:val="22"/>
          <w:lang w:val="bg-BG"/>
        </w:rPr>
        <w:t>.,</w:t>
      </w:r>
    </w:p>
    <w:p w:rsidR="00A33A11" w:rsidRDefault="00A33A11" w:rsidP="00A33A11">
      <w:pPr>
        <w:pStyle w:val="Blockquote"/>
        <w:ind w:left="567"/>
        <w:rPr>
          <w:sz w:val="22"/>
          <w:szCs w:val="22"/>
          <w:lang w:val="bg-BG"/>
        </w:rPr>
      </w:pPr>
      <w:r>
        <w:rPr>
          <w:sz w:val="22"/>
          <w:szCs w:val="22"/>
        </w:rPr>
        <w:t>Kyustendil</w:t>
      </w:r>
      <w:r>
        <w:rPr>
          <w:sz w:val="22"/>
          <w:szCs w:val="22"/>
          <w:lang w:val="bg-BG"/>
        </w:rPr>
        <w:t xml:space="preserve">, </w:t>
      </w:r>
      <w:r w:rsidRPr="00A33A11">
        <w:rPr>
          <w:sz w:val="22"/>
          <w:szCs w:val="22"/>
        </w:rPr>
        <w:t>2500</w:t>
      </w:r>
    </w:p>
    <w:p w:rsidR="00A33A11" w:rsidRPr="00A33A11" w:rsidRDefault="00A33A11" w:rsidP="00A33A11">
      <w:pPr>
        <w:pStyle w:val="Blockquote"/>
        <w:ind w:left="567"/>
        <w:rPr>
          <w:sz w:val="22"/>
          <w:szCs w:val="22"/>
        </w:rPr>
      </w:pPr>
      <w:proofErr w:type="spellStart"/>
      <w:r w:rsidRPr="00A33A11">
        <w:rPr>
          <w:sz w:val="22"/>
          <w:szCs w:val="22"/>
          <w:lang w:val="bg-BG"/>
        </w:rPr>
        <w:t>Bulgaria</w:t>
      </w:r>
      <w:proofErr w:type="spellEnd"/>
      <w:r w:rsidR="00844CD2">
        <w:rPr>
          <w:sz w:val="22"/>
          <w:szCs w:val="22"/>
          <w:lang w:val="bg-BG"/>
        </w:rPr>
        <w:t xml:space="preserve">, </w:t>
      </w:r>
      <w:r>
        <w:rPr>
          <w:sz w:val="22"/>
          <w:szCs w:val="22"/>
        </w:rPr>
        <w:t>BG</w:t>
      </w:r>
    </w:p>
    <w:p w:rsidR="00A33A11" w:rsidRDefault="00A33A11" w:rsidP="00AE2F78">
      <w:pPr>
        <w:pStyle w:val="Blockquote"/>
        <w:ind w:left="567"/>
        <w:rPr>
          <w:sz w:val="22"/>
          <w:szCs w:val="22"/>
        </w:rPr>
      </w:pPr>
    </w:p>
    <w:p w:rsidR="00AE7D74" w:rsidRPr="00AE2F78" w:rsidRDefault="00822AF7" w:rsidP="00AE2F78">
      <w:pPr>
        <w:ind w:left="709" w:hanging="425"/>
        <w:outlineLvl w:val="0"/>
        <w:rPr>
          <w:rStyle w:val="Strong"/>
          <w:sz w:val="22"/>
          <w:szCs w:val="22"/>
        </w:rPr>
      </w:pPr>
      <w:r w:rsidRPr="00AE2F78">
        <w:rPr>
          <w:rStyle w:val="Strong"/>
          <w:sz w:val="22"/>
          <w:szCs w:val="22"/>
        </w:rPr>
        <w:t>8</w:t>
      </w:r>
      <w:r w:rsidR="00AE2F78" w:rsidRPr="00AE2F78">
        <w:rPr>
          <w:rStyle w:val="Strong"/>
          <w:sz w:val="22"/>
          <w:szCs w:val="22"/>
        </w:rPr>
        <w:t>.</w:t>
      </w:r>
      <w:r w:rsidR="00AE2F78" w:rsidRPr="00AE2F78">
        <w:rPr>
          <w:rStyle w:val="Strong"/>
          <w:sz w:val="22"/>
          <w:szCs w:val="22"/>
        </w:rPr>
        <w:tab/>
      </w:r>
      <w:r w:rsidR="00AE7D74" w:rsidRPr="00AE2F78">
        <w:rPr>
          <w:rStyle w:val="Strong"/>
          <w:sz w:val="22"/>
          <w:szCs w:val="22"/>
        </w:rPr>
        <w:t>Duration of contract</w:t>
      </w:r>
    </w:p>
    <w:p w:rsidR="00AE7D74" w:rsidRPr="000D712D" w:rsidRDefault="00C4751E" w:rsidP="00A33A11">
      <w:pPr>
        <w:pStyle w:val="Blockquote"/>
        <w:ind w:left="567" w:firstLine="142"/>
        <w:rPr>
          <w:sz w:val="22"/>
          <w:szCs w:val="22"/>
        </w:rPr>
      </w:pPr>
      <w:r>
        <w:rPr>
          <w:sz w:val="22"/>
          <w:szCs w:val="22"/>
          <w:lang w:val="bg-BG"/>
        </w:rPr>
        <w:t xml:space="preserve">9 </w:t>
      </w:r>
      <w:r w:rsidR="00E207BB" w:rsidRPr="00C4751E">
        <w:rPr>
          <w:sz w:val="22"/>
          <w:szCs w:val="22"/>
        </w:rPr>
        <w:t>M</w:t>
      </w:r>
      <w:r w:rsidR="00AE7D74" w:rsidRPr="00C4751E">
        <w:rPr>
          <w:sz w:val="22"/>
          <w:szCs w:val="22"/>
        </w:rPr>
        <w:t>onths</w:t>
      </w:r>
    </w:p>
    <w:p w:rsidR="00AE7D74" w:rsidRPr="00AE2F78" w:rsidRDefault="00822AF7" w:rsidP="00AE2F78">
      <w:pPr>
        <w:ind w:left="709" w:hanging="425"/>
        <w:outlineLvl w:val="0"/>
        <w:rPr>
          <w:rStyle w:val="Strong"/>
          <w:sz w:val="22"/>
          <w:szCs w:val="22"/>
        </w:rPr>
      </w:pPr>
      <w:r w:rsidRPr="00AE2F78">
        <w:rPr>
          <w:rStyle w:val="Strong"/>
          <w:sz w:val="22"/>
          <w:szCs w:val="22"/>
        </w:rPr>
        <w:t>9.</w:t>
      </w:r>
      <w:r w:rsidR="00AE2F78" w:rsidRPr="00AE2F78">
        <w:rPr>
          <w:rStyle w:val="Strong"/>
          <w:sz w:val="22"/>
          <w:szCs w:val="22"/>
        </w:rPr>
        <w:tab/>
      </w:r>
      <w:r w:rsidR="00AE7D74" w:rsidRPr="00AE2F78">
        <w:rPr>
          <w:rStyle w:val="Strong"/>
          <w:sz w:val="22"/>
          <w:szCs w:val="22"/>
        </w:rPr>
        <w:t xml:space="preserve">Contracting </w:t>
      </w:r>
      <w:r w:rsidR="007D0D14">
        <w:rPr>
          <w:rStyle w:val="Strong"/>
          <w:sz w:val="22"/>
          <w:szCs w:val="22"/>
        </w:rPr>
        <w:t>a</w:t>
      </w:r>
      <w:r w:rsidR="00AE7D74" w:rsidRPr="00AE2F78">
        <w:rPr>
          <w:rStyle w:val="Strong"/>
          <w:sz w:val="22"/>
          <w:szCs w:val="22"/>
        </w:rPr>
        <w:t xml:space="preserve">uthority </w:t>
      </w:r>
    </w:p>
    <w:p w:rsidR="008229A6" w:rsidRPr="008229A6" w:rsidRDefault="008229A6" w:rsidP="008229A6">
      <w:pPr>
        <w:ind w:left="709" w:hanging="425"/>
        <w:outlineLvl w:val="0"/>
        <w:rPr>
          <w:rStyle w:val="Emphasis"/>
          <w:i w:val="0"/>
          <w:sz w:val="22"/>
          <w:szCs w:val="22"/>
        </w:rPr>
      </w:pPr>
      <w:r w:rsidRPr="008229A6">
        <w:rPr>
          <w:rStyle w:val="Emphasis"/>
          <w:i w:val="0"/>
          <w:sz w:val="22"/>
          <w:szCs w:val="22"/>
        </w:rPr>
        <w:tab/>
        <w:t>Municipality of Kyustendil</w:t>
      </w:r>
    </w:p>
    <w:p w:rsidR="008229A6" w:rsidRPr="008229A6" w:rsidRDefault="008229A6" w:rsidP="008229A6">
      <w:pPr>
        <w:ind w:left="709"/>
        <w:outlineLvl w:val="0"/>
        <w:rPr>
          <w:rStyle w:val="Emphasis"/>
          <w:i w:val="0"/>
          <w:sz w:val="22"/>
          <w:szCs w:val="22"/>
        </w:rPr>
      </w:pPr>
      <w:r w:rsidRPr="008229A6">
        <w:rPr>
          <w:rStyle w:val="Emphasis"/>
          <w:i w:val="0"/>
          <w:sz w:val="22"/>
          <w:szCs w:val="22"/>
        </w:rPr>
        <w:t xml:space="preserve">1 Velbuzhd Sq., </w:t>
      </w:r>
    </w:p>
    <w:p w:rsidR="008229A6" w:rsidRPr="008229A6" w:rsidRDefault="008229A6" w:rsidP="008229A6">
      <w:pPr>
        <w:ind w:left="709"/>
        <w:outlineLvl w:val="0"/>
        <w:rPr>
          <w:rStyle w:val="Emphasis"/>
          <w:i w:val="0"/>
          <w:sz w:val="22"/>
          <w:szCs w:val="22"/>
        </w:rPr>
      </w:pPr>
      <w:r w:rsidRPr="008229A6">
        <w:rPr>
          <w:rStyle w:val="Emphasis"/>
          <w:i w:val="0"/>
          <w:sz w:val="22"/>
          <w:szCs w:val="22"/>
        </w:rPr>
        <w:lastRenderedPageBreak/>
        <w:t xml:space="preserve">Kyustendil, 2500 </w:t>
      </w:r>
    </w:p>
    <w:p w:rsidR="008229A6" w:rsidRDefault="008229A6" w:rsidP="008229A6">
      <w:pPr>
        <w:ind w:left="709"/>
        <w:outlineLvl w:val="0"/>
        <w:rPr>
          <w:rStyle w:val="Emphasis"/>
          <w:i w:val="0"/>
          <w:sz w:val="22"/>
          <w:szCs w:val="22"/>
        </w:rPr>
      </w:pPr>
      <w:r w:rsidRPr="008229A6">
        <w:rPr>
          <w:rStyle w:val="Emphasis"/>
          <w:i w:val="0"/>
          <w:sz w:val="22"/>
          <w:szCs w:val="22"/>
        </w:rPr>
        <w:t>Bulgaria</w:t>
      </w:r>
      <w:r>
        <w:rPr>
          <w:rStyle w:val="Emphasis"/>
          <w:i w:val="0"/>
          <w:sz w:val="22"/>
          <w:szCs w:val="22"/>
        </w:rPr>
        <w:t xml:space="preserve"> </w:t>
      </w:r>
    </w:p>
    <w:p w:rsidR="008229A6" w:rsidRDefault="008229A6" w:rsidP="008229A6">
      <w:pPr>
        <w:ind w:left="709" w:hanging="425"/>
        <w:outlineLvl w:val="0"/>
        <w:rPr>
          <w:rStyle w:val="Emphasis"/>
          <w:i w:val="0"/>
          <w:sz w:val="22"/>
          <w:szCs w:val="22"/>
        </w:rPr>
      </w:pPr>
    </w:p>
    <w:p w:rsidR="00AE7D74" w:rsidRPr="00AE2F78" w:rsidRDefault="00AE7D74" w:rsidP="008229A6">
      <w:pPr>
        <w:ind w:left="709" w:hanging="425"/>
        <w:outlineLvl w:val="0"/>
        <w:rPr>
          <w:rStyle w:val="Strong"/>
          <w:sz w:val="22"/>
          <w:szCs w:val="22"/>
        </w:rPr>
      </w:pPr>
      <w:r w:rsidRPr="00AE2F78">
        <w:rPr>
          <w:rStyle w:val="Strong"/>
          <w:sz w:val="22"/>
          <w:szCs w:val="22"/>
        </w:rPr>
        <w:t>1</w:t>
      </w:r>
      <w:r w:rsidR="00822AF7" w:rsidRPr="00AE2F78">
        <w:rPr>
          <w:rStyle w:val="Strong"/>
          <w:sz w:val="22"/>
          <w:szCs w:val="22"/>
        </w:rPr>
        <w:t>0</w:t>
      </w:r>
      <w:r w:rsidR="00107B18" w:rsidRPr="00AE2F78">
        <w:rPr>
          <w:rStyle w:val="Strong"/>
          <w:sz w:val="22"/>
          <w:szCs w:val="22"/>
        </w:rPr>
        <w:t>.</w:t>
      </w:r>
      <w:r w:rsidRPr="00AE2F78">
        <w:rPr>
          <w:rStyle w:val="Strong"/>
          <w:sz w:val="22"/>
          <w:szCs w:val="22"/>
        </w:rPr>
        <w:tab/>
        <w:t>Legal basis</w:t>
      </w:r>
    </w:p>
    <w:p w:rsidR="00822AF7" w:rsidRDefault="00C31BC2" w:rsidP="008229A6">
      <w:pPr>
        <w:pStyle w:val="PRAGHeading2"/>
        <w:numPr>
          <w:ilvl w:val="0"/>
          <w:numId w:val="0"/>
        </w:numPr>
        <w:ind w:left="709"/>
        <w:jc w:val="both"/>
        <w:rPr>
          <w:sz w:val="22"/>
          <w:szCs w:val="22"/>
          <w:lang w:val="en-GB" w:eastAsia="ja-JP"/>
        </w:rPr>
      </w:pPr>
      <w:r w:rsidRPr="00A70778">
        <w:rPr>
          <w:sz w:val="22"/>
          <w:szCs w:val="22"/>
          <w:lang w:val="en-GB"/>
        </w:rPr>
        <w:t>Regulation</w:t>
      </w:r>
      <w:r w:rsidRPr="00A70778">
        <w:rPr>
          <w:b/>
          <w:bCs/>
          <w:sz w:val="22"/>
          <w:szCs w:val="22"/>
          <w:lang w:val="en-GB"/>
        </w:rPr>
        <w:t xml:space="preserve"> </w:t>
      </w:r>
      <w:r w:rsidRPr="00A70778">
        <w:rPr>
          <w:sz w:val="22"/>
          <w:szCs w:val="22"/>
          <w:lang w:val="en-GB"/>
        </w:rPr>
        <w:t xml:space="preserve">(EU) </w:t>
      </w:r>
      <w:r w:rsidR="007D0D14" w:rsidRPr="00A70778">
        <w:rPr>
          <w:sz w:val="22"/>
          <w:szCs w:val="22"/>
          <w:lang w:val="en-GB"/>
        </w:rPr>
        <w:t>No </w:t>
      </w:r>
      <w:r w:rsidRPr="00A70778">
        <w:rPr>
          <w:sz w:val="22"/>
          <w:szCs w:val="22"/>
          <w:lang w:val="en-GB" w:eastAsia="ja-JP"/>
        </w:rPr>
        <w:t xml:space="preserve">236/2014 of the European Parliament and of the Council of 11 March 2014 laying down common rules and procedures for the implementation of the Union's instruments for financing external action </w:t>
      </w:r>
    </w:p>
    <w:p w:rsidR="00FB7D93" w:rsidRPr="00FB7D93" w:rsidRDefault="00FB7D93" w:rsidP="00FB7D93">
      <w:pPr>
        <w:pStyle w:val="PRAGHeading2"/>
        <w:numPr>
          <w:ilvl w:val="0"/>
          <w:numId w:val="0"/>
        </w:numPr>
        <w:ind w:left="709"/>
        <w:jc w:val="both"/>
        <w:rPr>
          <w:sz w:val="22"/>
          <w:szCs w:val="22"/>
          <w:lang w:val="en-GB"/>
        </w:rPr>
      </w:pPr>
      <w:r w:rsidRPr="00FB7D93">
        <w:rPr>
          <w:sz w:val="22"/>
          <w:szCs w:val="22"/>
          <w:lang w:val="en-GB"/>
        </w:rPr>
        <w:t>Regulation (EU) No 236/2014 of the European Parliament and of the Council of 11 March 2014 laying down common rules and procedures for the implementation of the Union's instruments for financing external action</w:t>
      </w:r>
    </w:p>
    <w:p w:rsidR="00FB7D93" w:rsidRPr="00FB7D93" w:rsidRDefault="00FB7D93" w:rsidP="00FB7D93">
      <w:pPr>
        <w:pStyle w:val="PRAGHeading2"/>
        <w:numPr>
          <w:ilvl w:val="0"/>
          <w:numId w:val="0"/>
        </w:numPr>
        <w:ind w:left="709"/>
        <w:jc w:val="both"/>
        <w:rPr>
          <w:sz w:val="22"/>
          <w:szCs w:val="22"/>
          <w:lang w:val="en-GB"/>
        </w:rPr>
      </w:pPr>
      <w:r w:rsidRPr="00FB7D93">
        <w:rPr>
          <w:sz w:val="22"/>
          <w:szCs w:val="22"/>
          <w:lang w:val="en-GB"/>
        </w:rPr>
        <w:t>European Neighbourhood and Partnership instrument (Regulation (EC) N° 1638/2006 of the EP and of the Council - OJ L 310/1 of 9.11.2006)</w:t>
      </w:r>
    </w:p>
    <w:p w:rsidR="00FB7D93" w:rsidRPr="00FB7D93" w:rsidRDefault="00FB7D93" w:rsidP="00FB7D93">
      <w:pPr>
        <w:pStyle w:val="PRAGHeading2"/>
        <w:numPr>
          <w:ilvl w:val="0"/>
          <w:numId w:val="0"/>
        </w:numPr>
        <w:ind w:left="709"/>
        <w:jc w:val="both"/>
        <w:rPr>
          <w:sz w:val="22"/>
          <w:szCs w:val="22"/>
          <w:lang w:val="en-GB"/>
        </w:rPr>
      </w:pPr>
      <w:r w:rsidRPr="00FB7D93">
        <w:rPr>
          <w:sz w:val="22"/>
          <w:szCs w:val="22"/>
          <w:lang w:val="en-GB"/>
        </w:rPr>
        <w:t>Regulation (EU) No 231/2014 of the European Parliament and of the Council of 11 March 2014 establishing an Instrument for Pre-Accession Assistance (IPA II)</w:t>
      </w:r>
    </w:p>
    <w:p w:rsidR="00FB7D93" w:rsidRPr="00FB7D93" w:rsidRDefault="00FB7D93" w:rsidP="00FB7D93">
      <w:pPr>
        <w:pStyle w:val="PRAGHeading2"/>
        <w:numPr>
          <w:ilvl w:val="0"/>
          <w:numId w:val="0"/>
        </w:numPr>
        <w:ind w:left="709"/>
        <w:jc w:val="both"/>
        <w:rPr>
          <w:sz w:val="22"/>
          <w:szCs w:val="22"/>
          <w:lang w:val="en-GB"/>
        </w:rPr>
      </w:pPr>
      <w:r w:rsidRPr="00FB7D93">
        <w:rPr>
          <w:sz w:val="22"/>
          <w:szCs w:val="22"/>
          <w:lang w:val="en-GB"/>
        </w:rPr>
        <w:t>Commission Implementing Regulation (EU) No 447/2014 of May 2014 on the specific rules for implementing Regulation (EU) No 231/2014 of the European Parliament and of the Council establishing an Instrument for Pre-accession assistance (IPA II)</w:t>
      </w:r>
    </w:p>
    <w:p w:rsidR="00FB7D93" w:rsidRPr="00FB7D93" w:rsidRDefault="00FB7D93" w:rsidP="00FB7D93">
      <w:pPr>
        <w:pStyle w:val="PRAGHeading2"/>
        <w:numPr>
          <w:ilvl w:val="0"/>
          <w:numId w:val="0"/>
        </w:numPr>
        <w:ind w:left="709"/>
        <w:jc w:val="both"/>
        <w:rPr>
          <w:snapToGrid/>
          <w:szCs w:val="24"/>
          <w:lang w:val="en-GB" w:eastAsia="bg-BG"/>
        </w:rPr>
      </w:pPr>
      <w:r w:rsidRPr="00FB7D93">
        <w:rPr>
          <w:sz w:val="22"/>
          <w:szCs w:val="22"/>
          <w:lang w:val="en-GB"/>
        </w:rPr>
        <w:t>Regulation (EU) No 1299/2013 of the European Parliament and of the Council</w:t>
      </w:r>
      <w:r w:rsidRPr="00FB7D93">
        <w:rPr>
          <w:snapToGrid/>
          <w:szCs w:val="24"/>
          <w:lang w:val="en-GB" w:eastAsia="bg-BG"/>
        </w:rPr>
        <w:t xml:space="preserve"> of 17 </w:t>
      </w:r>
      <w:r w:rsidRPr="00FB7D93">
        <w:rPr>
          <w:snapToGrid/>
          <w:szCs w:val="24"/>
          <w:lang w:val="en" w:eastAsia="bg-BG"/>
        </w:rPr>
        <w:t xml:space="preserve">December </w:t>
      </w:r>
      <w:r w:rsidRPr="00FB7D93">
        <w:rPr>
          <w:snapToGrid/>
          <w:szCs w:val="24"/>
          <w:lang w:val="en-GB" w:eastAsia="bg-BG"/>
        </w:rPr>
        <w:t>2013 on specific provisions for the support from the European Regional Development Fund to the European territorial cooperation goal;</w:t>
      </w:r>
    </w:p>
    <w:p w:rsidR="00FB7D93" w:rsidRPr="00FB7D93" w:rsidRDefault="00FB7D93" w:rsidP="00FB7D93">
      <w:pPr>
        <w:pStyle w:val="PRAGHeading2"/>
        <w:numPr>
          <w:ilvl w:val="0"/>
          <w:numId w:val="0"/>
        </w:numPr>
        <w:ind w:left="709"/>
        <w:jc w:val="both"/>
        <w:rPr>
          <w:sz w:val="22"/>
          <w:szCs w:val="22"/>
          <w:lang w:val="en-GB"/>
        </w:rPr>
      </w:pPr>
      <w:r w:rsidRPr="00FB7D93">
        <w:rPr>
          <w:sz w:val="22"/>
          <w:szCs w:val="22"/>
          <w:lang w:val="en-GB"/>
        </w:rPr>
        <w:t>Commission Delegated Regulation (EU) No 481/2014 of 4 March 2014 supplementing Regulation (EU) No 1299/2013 of the European Parliament and of the Council with regard to specific rules on eligibility of expenditure for cooperation programmes</w:t>
      </w:r>
    </w:p>
    <w:p w:rsidR="00FB7D93" w:rsidRPr="00FB7D93" w:rsidRDefault="00FB7D93" w:rsidP="00FB7D93">
      <w:pPr>
        <w:pStyle w:val="PRAGHeading2"/>
        <w:numPr>
          <w:ilvl w:val="0"/>
          <w:numId w:val="0"/>
        </w:numPr>
        <w:ind w:left="709"/>
        <w:jc w:val="both"/>
        <w:rPr>
          <w:sz w:val="22"/>
          <w:szCs w:val="22"/>
          <w:lang w:val="en-GB"/>
        </w:rPr>
      </w:pPr>
      <w:r w:rsidRPr="00FB7D93">
        <w:rPr>
          <w:sz w:val="22"/>
          <w:szCs w:val="22"/>
          <w:lang w:val="en-GB"/>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rsidR="00FB7D93" w:rsidRPr="00FB7D93" w:rsidRDefault="00FB7D93" w:rsidP="00FB7D93">
      <w:pPr>
        <w:pStyle w:val="PRAGHeading2"/>
        <w:numPr>
          <w:ilvl w:val="0"/>
          <w:numId w:val="0"/>
        </w:numPr>
        <w:ind w:left="709"/>
        <w:jc w:val="both"/>
        <w:rPr>
          <w:sz w:val="22"/>
          <w:szCs w:val="22"/>
          <w:lang w:val="en-GB"/>
        </w:rPr>
      </w:pPr>
      <w:r w:rsidRPr="00FB7D93">
        <w:rPr>
          <w:sz w:val="22"/>
          <w:szCs w:val="22"/>
          <w:lang w:val="en-GB"/>
        </w:rPr>
        <w:t>Council Regulation (EU, EURATOM) No 966/2012 of the European Parliament and of the Council of 25 October 2012 on the financial rules applicable to the general budget of the Union and repealing Council Regulation (EC, Euratom) No 1605/2002</w:t>
      </w:r>
    </w:p>
    <w:p w:rsidR="00FB7D93" w:rsidRPr="00FB7D93" w:rsidRDefault="00FB7D93" w:rsidP="00FB7D93">
      <w:pPr>
        <w:pStyle w:val="PRAGHeading2"/>
        <w:numPr>
          <w:ilvl w:val="0"/>
          <w:numId w:val="0"/>
        </w:numPr>
        <w:ind w:left="709"/>
        <w:jc w:val="both"/>
        <w:rPr>
          <w:sz w:val="22"/>
          <w:szCs w:val="22"/>
          <w:lang w:val="en-GB"/>
        </w:rPr>
      </w:pPr>
      <w:r w:rsidRPr="00FB7D93">
        <w:rPr>
          <w:sz w:val="22"/>
          <w:szCs w:val="22"/>
          <w:lang w:val="en-GB"/>
        </w:rPr>
        <w:t>Commission Delegated Regulation (EU) No 1268/2012 of 29 October 2012 on the rules of application of Regulation (EU, Euratom) No 966/2012 of the European Parliament and of the Council on the financial rules applicable to the general budget of the Union</w:t>
      </w:r>
    </w:p>
    <w:p w:rsidR="00FB7D93" w:rsidRDefault="00FB7D93" w:rsidP="00FB7D93">
      <w:pPr>
        <w:pStyle w:val="PRAGHeading2"/>
        <w:numPr>
          <w:ilvl w:val="0"/>
          <w:numId w:val="0"/>
        </w:numPr>
        <w:ind w:left="709"/>
        <w:jc w:val="both"/>
        <w:rPr>
          <w:sz w:val="22"/>
          <w:szCs w:val="22"/>
          <w:lang w:val="en-GB"/>
        </w:rPr>
      </w:pPr>
      <w:r w:rsidRPr="00FB7D93">
        <w:rPr>
          <w:sz w:val="22"/>
          <w:szCs w:val="22"/>
          <w:lang w:val="en-GB"/>
        </w:rPr>
        <w:t xml:space="preserve">Regulation (EU, EURATOM) 2015/1929 of the Еuropean Parliament and of the Council of 28 October 2015 amending Regulation (EU, Euratom) No 966/2012 on the financial rules applicable </w:t>
      </w:r>
      <w:r w:rsidRPr="00FB7D93">
        <w:rPr>
          <w:sz w:val="22"/>
          <w:szCs w:val="22"/>
          <w:lang w:val="en-GB"/>
        </w:rPr>
        <w:lastRenderedPageBreak/>
        <w:t>to the general budget of the Union; Commission Delegated Regulation (EU) 2015/2462 of 30 October 2015 amending Delegated Regulation (EU) No 1268/2012 on the rules of application of Regulation (EU, Euratom) No 966/2012 of the European Parliament and of the Council on the financial rules applicable to the general budget of the Union</w:t>
      </w:r>
    </w:p>
    <w:p w:rsidR="00564BB9" w:rsidRPr="00FB7D93" w:rsidRDefault="00564BB9" w:rsidP="00FB7D93">
      <w:pPr>
        <w:pStyle w:val="PRAGHeading2"/>
        <w:numPr>
          <w:ilvl w:val="0"/>
          <w:numId w:val="0"/>
        </w:numPr>
        <w:ind w:left="709"/>
        <w:jc w:val="both"/>
        <w:rPr>
          <w:sz w:val="22"/>
          <w:szCs w:val="22"/>
          <w:lang w:val="en-GB"/>
        </w:rPr>
      </w:pPr>
      <w:r w:rsidRPr="00564BB9">
        <w:rPr>
          <w:sz w:val="22"/>
          <w:szCs w:val="22"/>
          <w:lang w:val="en-GB"/>
        </w:rPr>
        <w:t>Interreg-IPA Bulgaria – the former Yugoslav Republic of Macedonia Cross-border programme adopted on 5th August 2015 by the Commission with Decision № C (2015) 5653</w:t>
      </w:r>
    </w:p>
    <w:sectPr w:rsidR="00564BB9" w:rsidRPr="00FB7D93" w:rsidSect="00D02B28">
      <w:headerReference w:type="default" r:id="rId9"/>
      <w:footerReference w:type="default" r:id="rId10"/>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75" w:rsidRDefault="007D2075">
      <w:r>
        <w:separator/>
      </w:r>
    </w:p>
  </w:endnote>
  <w:endnote w:type="continuationSeparator" w:id="0">
    <w:p w:rsidR="007D2075" w:rsidRDefault="007D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CC" w:rsidRPr="00F075CC" w:rsidRDefault="003A4851" w:rsidP="00F075CC">
    <w:pPr>
      <w:widowControl/>
      <w:tabs>
        <w:tab w:val="right" w:pos="9214"/>
      </w:tabs>
      <w:spacing w:before="0" w:after="0"/>
      <w:ind w:right="5"/>
      <w:rPr>
        <w:sz w:val="18"/>
        <w:szCs w:val="18"/>
        <w:lang w:val="en-GB"/>
      </w:rPr>
    </w:pPr>
    <w:r w:rsidRPr="003A4851">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sidR="003E533C">
      <w:rPr>
        <w:noProof/>
        <w:sz w:val="18"/>
        <w:szCs w:val="18"/>
        <w:lang w:val="en-GB"/>
      </w:rPr>
      <w:t>1</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sidR="003E533C">
      <w:rPr>
        <w:noProof/>
        <w:sz w:val="18"/>
        <w:szCs w:val="18"/>
        <w:lang w:val="en-GB"/>
      </w:rPr>
      <w:t>3</w:t>
    </w:r>
    <w:r w:rsidR="00F075CC" w:rsidRPr="00F075CC">
      <w:rPr>
        <w:sz w:val="18"/>
        <w:szCs w:val="18"/>
        <w:lang w:val="en-GB"/>
      </w:rPr>
      <w:fldChar w:fldCharType="end"/>
    </w:r>
  </w:p>
  <w:p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ED46F2">
      <w:rPr>
        <w:noProof/>
        <w:sz w:val="18"/>
        <w:szCs w:val="18"/>
        <w:lang w:val="en-GB"/>
      </w:rPr>
      <w:t>d9b_awardnotice_en.doc</w:t>
    </w:r>
    <w:r w:rsidRPr="00F075CC">
      <w:rPr>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75" w:rsidRDefault="007D2075">
      <w:r>
        <w:separator/>
      </w:r>
    </w:p>
  </w:footnote>
  <w:footnote w:type="continuationSeparator" w:id="0">
    <w:p w:rsidR="007D2075" w:rsidRDefault="007D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48" w:rsidRPr="00356962" w:rsidRDefault="00775F48" w:rsidP="00775F48">
    <w:pPr>
      <w:autoSpaceDE w:val="0"/>
      <w:autoSpaceDN w:val="0"/>
      <w:adjustRightInd w:val="0"/>
      <w:jc w:val="center"/>
      <w:rPr>
        <w:rFonts w:ascii="Calibri" w:hAnsi="Calibri" w:cs="Calibri"/>
        <w:color w:val="000000"/>
      </w:rPr>
    </w:pPr>
    <w:r w:rsidRPr="00356962">
      <w:rPr>
        <w:noProof/>
        <w:sz w:val="20"/>
        <w:lang w:val="bg-BG" w:eastAsia="bg-BG"/>
      </w:rPr>
      <w:drawing>
        <wp:inline distT="0" distB="0" distL="0" distR="0" wp14:anchorId="7859422C" wp14:editId="134C878D">
          <wp:extent cx="2743200" cy="695325"/>
          <wp:effectExtent l="0" t="0" r="0" b="952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95325"/>
                  </a:xfrm>
                  <a:prstGeom prst="rect">
                    <a:avLst/>
                  </a:prstGeom>
                  <a:noFill/>
                  <a:ln>
                    <a:noFill/>
                  </a:ln>
                </pic:spPr>
              </pic:pic>
            </a:graphicData>
          </a:graphic>
        </wp:inline>
      </w:drawing>
    </w:r>
  </w:p>
  <w:p w:rsidR="004A3764" w:rsidRPr="00775F48" w:rsidRDefault="00775F48" w:rsidP="00775F48">
    <w:pPr>
      <w:jc w:val="center"/>
      <w:rPr>
        <w:rFonts w:ascii="Bodoni MT" w:hAnsi="Bodoni MT" w:cs="Calibri"/>
        <w:b/>
        <w:bCs/>
        <w:color w:val="000000"/>
      </w:rPr>
    </w:pPr>
    <w:r w:rsidRPr="00072A72">
      <w:rPr>
        <w:rFonts w:ascii="Bodoni MT" w:hAnsi="Bodoni MT" w:cs="Calibri"/>
        <w:b/>
        <w:bCs/>
        <w:color w:val="000000"/>
      </w:rPr>
      <w:t xml:space="preserve">CB006.2.21.143 </w:t>
    </w:r>
    <w:r w:rsidRPr="00BC02F3">
      <w:rPr>
        <w:rFonts w:ascii="Bodoni MT" w:hAnsi="Bodoni MT" w:cs="Calibri"/>
        <w:b/>
        <w:bCs/>
        <w:color w:val="000000"/>
      </w:rPr>
      <w:t xml:space="preserve">“Preserving the spiritual sanctuaries - a sustainable tourism potential in Strumica and Kyustendil” project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 w:numId="10">
    <w:abstractNumId w:val="9"/>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67624"/>
    <w:rsid w:val="0000046A"/>
    <w:rsid w:val="00070D1F"/>
    <w:rsid w:val="00081F41"/>
    <w:rsid w:val="0008681F"/>
    <w:rsid w:val="000D712D"/>
    <w:rsid w:val="000D7376"/>
    <w:rsid w:val="000F356A"/>
    <w:rsid w:val="00101DEB"/>
    <w:rsid w:val="00107B18"/>
    <w:rsid w:val="001104F9"/>
    <w:rsid w:val="00160B2B"/>
    <w:rsid w:val="0019719C"/>
    <w:rsid w:val="001B6137"/>
    <w:rsid w:val="001C132D"/>
    <w:rsid w:val="00207784"/>
    <w:rsid w:val="00233766"/>
    <w:rsid w:val="00254C87"/>
    <w:rsid w:val="002C2A5E"/>
    <w:rsid w:val="002D48D6"/>
    <w:rsid w:val="002E6A8E"/>
    <w:rsid w:val="002F41AD"/>
    <w:rsid w:val="00327A84"/>
    <w:rsid w:val="003435B4"/>
    <w:rsid w:val="00347409"/>
    <w:rsid w:val="00366B00"/>
    <w:rsid w:val="003811EE"/>
    <w:rsid w:val="003A4851"/>
    <w:rsid w:val="003D5F7A"/>
    <w:rsid w:val="003D64A6"/>
    <w:rsid w:val="003E533C"/>
    <w:rsid w:val="003F4D87"/>
    <w:rsid w:val="003F6495"/>
    <w:rsid w:val="00410B62"/>
    <w:rsid w:val="004621C7"/>
    <w:rsid w:val="00467624"/>
    <w:rsid w:val="00467EA6"/>
    <w:rsid w:val="004706EB"/>
    <w:rsid w:val="0048246B"/>
    <w:rsid w:val="00491A91"/>
    <w:rsid w:val="00495B4C"/>
    <w:rsid w:val="004A3764"/>
    <w:rsid w:val="004B1611"/>
    <w:rsid w:val="004C5707"/>
    <w:rsid w:val="004E0893"/>
    <w:rsid w:val="00564BB9"/>
    <w:rsid w:val="00570CCB"/>
    <w:rsid w:val="005C529F"/>
    <w:rsid w:val="005E564E"/>
    <w:rsid w:val="00690646"/>
    <w:rsid w:val="006A6904"/>
    <w:rsid w:val="00703B5E"/>
    <w:rsid w:val="00712278"/>
    <w:rsid w:val="007250D2"/>
    <w:rsid w:val="00740187"/>
    <w:rsid w:val="00754DD4"/>
    <w:rsid w:val="00775F48"/>
    <w:rsid w:val="0078569F"/>
    <w:rsid w:val="007A05A8"/>
    <w:rsid w:val="007C035D"/>
    <w:rsid w:val="007C4B6E"/>
    <w:rsid w:val="007D0D14"/>
    <w:rsid w:val="007D2075"/>
    <w:rsid w:val="007F7527"/>
    <w:rsid w:val="00810A6E"/>
    <w:rsid w:val="008229A6"/>
    <w:rsid w:val="00822AF7"/>
    <w:rsid w:val="00830E05"/>
    <w:rsid w:val="00844CD2"/>
    <w:rsid w:val="00851F7D"/>
    <w:rsid w:val="00853B2E"/>
    <w:rsid w:val="00857F48"/>
    <w:rsid w:val="00866CF4"/>
    <w:rsid w:val="00877CE4"/>
    <w:rsid w:val="008C1B12"/>
    <w:rsid w:val="009064AF"/>
    <w:rsid w:val="0091269D"/>
    <w:rsid w:val="00942EF0"/>
    <w:rsid w:val="00955714"/>
    <w:rsid w:val="009950AA"/>
    <w:rsid w:val="009C2848"/>
    <w:rsid w:val="009E0B83"/>
    <w:rsid w:val="009F4AD3"/>
    <w:rsid w:val="009F6594"/>
    <w:rsid w:val="00A33A11"/>
    <w:rsid w:val="00A70778"/>
    <w:rsid w:val="00A9302A"/>
    <w:rsid w:val="00AC1B23"/>
    <w:rsid w:val="00AD309D"/>
    <w:rsid w:val="00AE2F78"/>
    <w:rsid w:val="00AE7D74"/>
    <w:rsid w:val="00B026B0"/>
    <w:rsid w:val="00B12C44"/>
    <w:rsid w:val="00B60477"/>
    <w:rsid w:val="00BB01D3"/>
    <w:rsid w:val="00C03BCF"/>
    <w:rsid w:val="00C31BC2"/>
    <w:rsid w:val="00C4751E"/>
    <w:rsid w:val="00CB7932"/>
    <w:rsid w:val="00CE32E2"/>
    <w:rsid w:val="00CF32AF"/>
    <w:rsid w:val="00D02B28"/>
    <w:rsid w:val="00D0361F"/>
    <w:rsid w:val="00D40619"/>
    <w:rsid w:val="00D8646C"/>
    <w:rsid w:val="00DA5547"/>
    <w:rsid w:val="00DB5C6E"/>
    <w:rsid w:val="00DC0ACC"/>
    <w:rsid w:val="00DF1515"/>
    <w:rsid w:val="00E207BB"/>
    <w:rsid w:val="00E20F03"/>
    <w:rsid w:val="00E717C4"/>
    <w:rsid w:val="00E867B7"/>
    <w:rsid w:val="00EA66D0"/>
    <w:rsid w:val="00ED1EA5"/>
    <w:rsid w:val="00ED46F2"/>
    <w:rsid w:val="00F075CC"/>
    <w:rsid w:val="00F321C1"/>
    <w:rsid w:val="00F43F31"/>
    <w:rsid w:val="00F60AB7"/>
    <w:rsid w:val="00F703DF"/>
    <w:rsid w:val="00F838E9"/>
    <w:rsid w:val="00F86C01"/>
    <w:rsid w:val="00FB7D93"/>
    <w:rsid w:val="00FF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C31BC2"/>
    <w:pPr>
      <w:numPr>
        <w:numId w:val="9"/>
      </w:numPr>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C31BC2"/>
    <w:pPr>
      <w:numPr>
        <w:numId w:val="9"/>
      </w:numPr>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241">
      <w:bodyDiv w:val="1"/>
      <w:marLeft w:val="0"/>
      <w:marRight w:val="0"/>
      <w:marTop w:val="0"/>
      <w:marBottom w:val="0"/>
      <w:divBdr>
        <w:top w:val="none" w:sz="0" w:space="0" w:color="auto"/>
        <w:left w:val="none" w:sz="0" w:space="0" w:color="auto"/>
        <w:bottom w:val="none" w:sz="0" w:space="0" w:color="auto"/>
        <w:right w:val="none" w:sz="0" w:space="0" w:color="auto"/>
      </w:divBdr>
    </w:div>
    <w:div w:id="12256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A49C8-4B72-4D87-A023-867FE6FF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3385</Characters>
  <Application>Microsoft Office Word</Application>
  <DocSecurity>0</DocSecurity>
  <Lines>28</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C9 Award</vt:lpstr>
      <vt:lpstr>C9 Award</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creator>chattob</dc:creator>
  <cp:lastModifiedBy>UTS</cp:lastModifiedBy>
  <cp:revision>2</cp:revision>
  <dcterms:created xsi:type="dcterms:W3CDTF">2020-04-02T10:25:00Z</dcterms:created>
  <dcterms:modified xsi:type="dcterms:W3CDTF">2020-04-02T10:25:00Z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